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media/image1.png" ContentType="image/png"/>
  <Override PartName="/word/header3.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23.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fonts/font26.odttf" ContentType="application/vnd.openxmlformats-officedocument.obfuscatedFont"/>
  <Override PartName="/word/fonts/font27.odttf" ContentType="application/vnd.openxmlformats-officedocument.obfuscatedFont"/>
  <Override PartName="/word/fonts/font28.odttf" ContentType="application/vnd.openxmlformats-officedocument.obfuscatedFont"/>
  <Override PartName="/word/fonts/font29.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3.xml.rels" ContentType="application/vnd.openxmlformats-package.relationships+xml"/>
  <Override PartName="/word/_rels/header2.xml.rels" ContentType="application/vnd.openxmlformats-package.relationships+xml"/>
  <Override PartName="/word/_rels/fontTable.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jc w:val="center"/>
        <w:rPr>
          <w:rFonts w:ascii="Arial" w:hAnsi="Arial" w:eastAsia="Arial" w:cs="Arial"/>
          <w:b/>
          <w:bCs/>
          <w:sz w:val="28"/>
          <w:szCs w:val="28"/>
        </w:rPr>
      </w:pPr>
      <w:r>
        <w:rPr>
          <w:rFonts w:eastAsia="Arial" w:cs="Arial" w:ascii="Arial" w:hAnsi="Arial"/>
          <w:b/>
          <w:bCs/>
          <w:sz w:val="28"/>
          <w:szCs w:val="28"/>
        </w:rPr>
        <w:t>Data Processing Addendum</w:t>
      </w:r>
    </w:p>
    <w:p>
      <w:pPr>
        <w:pStyle w:val="normal1"/>
        <w:rPr>
          <w:rFonts w:ascii="Arial" w:hAnsi="Arial" w:eastAsia="Arial" w:cs="Arial"/>
          <w:sz w:val="20"/>
          <w:szCs w:val="20"/>
        </w:rPr>
      </w:pPr>
      <w:r>
        <w:rPr>
          <w:rFonts w:eastAsia="Arial" w:cs="Arial" w:ascii="Arial" w:hAnsi="Arial"/>
          <w:sz w:val="20"/>
          <w:szCs w:val="20"/>
        </w:rPr>
        <w:t>This Data Processing Addendum (</w:t>
      </w:r>
      <w:r>
        <w:rPr>
          <w:rFonts w:eastAsia="Arial" w:cs="Arial" w:ascii="Arial" w:hAnsi="Arial"/>
          <w:b/>
          <w:bCs/>
          <w:sz w:val="20"/>
          <w:szCs w:val="20"/>
        </w:rPr>
        <w:t>DPA</w:t>
      </w:r>
      <w:r>
        <w:rPr>
          <w:rFonts w:eastAsia="Arial" w:cs="Arial" w:ascii="Arial" w:hAnsi="Arial"/>
          <w:sz w:val="20"/>
          <w:szCs w:val="20"/>
        </w:rPr>
        <w:t>) forms part of the electronic agreement for the purchase of the Vendor Service as identified in such agreement ("</w:t>
      </w:r>
      <w:r>
        <w:rPr>
          <w:rFonts w:eastAsia="Arial" w:cs="Arial" w:ascii="Arial" w:hAnsi="Arial"/>
          <w:b/>
          <w:bCs/>
          <w:sz w:val="20"/>
          <w:szCs w:val="20"/>
        </w:rPr>
        <w:t>Principal Agreement</w:t>
      </w:r>
      <w:r>
        <w:rPr>
          <w:rFonts w:eastAsia="Arial" w:cs="Arial" w:ascii="Arial" w:hAnsi="Arial"/>
          <w:sz w:val="20"/>
          <w:szCs w:val="20"/>
        </w:rPr>
        <w:t>") between: (i) Quality Unit, s.r.o., Vajnorská 100/A, 83104 Bratislava, Slovakia (European Union)</w:t>
      </w:r>
      <w:r>
        <w:rPr>
          <w:rFonts w:eastAsia="Arial" w:cs="Arial" w:ascii="Arial" w:hAnsi="Arial"/>
          <w:b/>
          <w:bCs/>
          <w:sz w:val="20"/>
          <w:szCs w:val="20"/>
        </w:rPr>
        <w:t xml:space="preserve"> (</w:t>
      </w:r>
      <w:r>
        <w:rPr>
          <w:rFonts w:eastAsia="Arial" w:cs="Arial" w:ascii="Arial" w:hAnsi="Arial"/>
          <w:sz w:val="20"/>
          <w:szCs w:val="20"/>
        </w:rPr>
        <w:t>"</w:t>
      </w:r>
      <w:r>
        <w:rPr>
          <w:rFonts w:eastAsia="Arial" w:cs="Arial" w:ascii="Arial" w:hAnsi="Arial"/>
          <w:b/>
          <w:bCs/>
          <w:sz w:val="20"/>
          <w:szCs w:val="20"/>
        </w:rPr>
        <w:t>Vendor</w:t>
      </w:r>
      <w:r>
        <w:rPr>
          <w:rFonts w:eastAsia="Arial" w:cs="Arial" w:ascii="Arial" w:hAnsi="Arial"/>
          <w:sz w:val="20"/>
          <w:szCs w:val="20"/>
        </w:rPr>
        <w:t xml:space="preserve">" or </w:t>
      </w:r>
      <w:r>
        <w:rPr>
          <w:rFonts w:eastAsia="Arial" w:cs="Arial" w:ascii="Arial" w:hAnsi="Arial"/>
          <w:b/>
          <w:bCs/>
          <w:sz w:val="20"/>
          <w:szCs w:val="20"/>
        </w:rPr>
        <w:t xml:space="preserve">“Data Processor”) </w:t>
      </w:r>
      <w:r>
        <w:rPr>
          <w:rFonts w:eastAsia="Arial" w:cs="Arial" w:ascii="Arial" w:hAnsi="Arial"/>
          <w:sz w:val="20"/>
          <w:szCs w:val="20"/>
        </w:rPr>
        <w:t>and (ii) [</w:t>
      </w:r>
      <w:r>
        <w:rPr>
          <w:rFonts w:eastAsia="Arial" w:cs="Arial" w:ascii="Arial" w:hAnsi="Arial"/>
          <w:sz w:val="20"/>
          <w:szCs w:val="20"/>
          <w:highlight w:val="yellow"/>
        </w:rPr>
        <w:t>insert your company legal name</w:t>
      </w:r>
      <w:r>
        <w:rPr>
          <w:rFonts w:eastAsia="Arial" w:cs="Arial" w:ascii="Arial" w:hAnsi="Arial"/>
          <w:sz w:val="20"/>
          <w:szCs w:val="20"/>
        </w:rPr>
        <w:t xml:space="preserve"> and address] </w:t>
      </w:r>
      <w:r>
        <w:rPr>
          <w:rFonts w:eastAsia="Arial" w:cs="Arial" w:ascii="Arial" w:hAnsi="Arial"/>
          <w:b/>
          <w:bCs/>
          <w:sz w:val="20"/>
          <w:szCs w:val="20"/>
        </w:rPr>
        <w:t>(“</w:t>
      </w:r>
      <w:r>
        <w:rPr>
          <w:rFonts w:eastAsia="Arial" w:cs="Arial" w:ascii="Arial" w:hAnsi="Arial"/>
          <w:b/>
          <w:bCs/>
          <w:sz w:val="20"/>
          <w:szCs w:val="20"/>
          <w:highlight w:val="yellow"/>
        </w:rPr>
        <w:t xml:space="preserve">Company </w:t>
      </w:r>
      <w:r>
        <w:rPr>
          <w:rFonts w:eastAsia="Arial" w:cs="Arial" w:ascii="Arial" w:hAnsi="Arial"/>
          <w:b/>
          <w:bCs/>
          <w:sz w:val="20"/>
          <w:szCs w:val="20"/>
        </w:rPr>
        <w:t>”</w:t>
      </w:r>
      <w:r>
        <w:rPr>
          <w:rFonts w:eastAsia="Arial" w:cs="Arial" w:ascii="Arial" w:hAnsi="Arial"/>
          <w:sz w:val="20"/>
          <w:szCs w:val="20"/>
        </w:rPr>
        <w:t xml:space="preserve"> or </w:t>
      </w:r>
      <w:r>
        <w:rPr>
          <w:rFonts w:eastAsia="Arial" w:cs="Arial" w:ascii="Arial" w:hAnsi="Arial"/>
          <w:b/>
          <w:bCs/>
          <w:sz w:val="20"/>
          <w:szCs w:val="20"/>
        </w:rPr>
        <w:t>“Data Controller”)</w:t>
      </w:r>
      <w:r>
        <w:rPr>
          <w:rFonts w:eastAsia="Arial" w:cs="Arial" w:ascii="Arial" w:hAnsi="Arial"/>
          <w:sz w:val="20"/>
          <w:szCs w:val="20"/>
        </w:rPr>
        <w:t xml:space="preserve">. Data Controller and Vendor are each a </w:t>
      </w:r>
      <w:r>
        <w:rPr>
          <w:rFonts w:eastAsia="Arial" w:cs="Arial" w:ascii="Arial" w:hAnsi="Arial"/>
          <w:b/>
          <w:bCs/>
          <w:sz w:val="20"/>
          <w:szCs w:val="20"/>
        </w:rPr>
        <w:t>“Party”</w:t>
      </w:r>
      <w:r>
        <w:rPr>
          <w:rFonts w:eastAsia="Arial" w:cs="Arial" w:ascii="Arial" w:hAnsi="Arial"/>
          <w:sz w:val="20"/>
          <w:szCs w:val="20"/>
        </w:rPr>
        <w:t xml:space="preserve"> and collectively, the “Parties”.</w:t>
      </w:r>
    </w:p>
    <w:p>
      <w:pPr>
        <w:pStyle w:val="normal1"/>
        <w:rPr>
          <w:rFonts w:ascii="Arial" w:hAnsi="Arial" w:eastAsia="Arial" w:cs="Arial"/>
          <w:sz w:val="20"/>
          <w:szCs w:val="20"/>
        </w:rPr>
      </w:pPr>
      <w:r>
        <w:rPr>
          <w:rFonts w:eastAsia="Arial" w:cs="Arial" w:ascii="Arial" w:hAnsi="Arial"/>
          <w:sz w:val="20"/>
          <w:szCs w:val="20"/>
        </w:rPr>
        <w:t xml:space="preserve">Except as modified below, the terms of the Principal Agreement shall remain in full force and effect.   </w:t>
      </w:r>
    </w:p>
    <w:p>
      <w:pPr>
        <w:pStyle w:val="normal1"/>
        <w:rPr>
          <w:rFonts w:ascii="Arial" w:hAnsi="Arial" w:eastAsia="Arial" w:cs="Arial"/>
          <w:sz w:val="20"/>
          <w:szCs w:val="20"/>
        </w:rPr>
      </w:pPr>
      <w:r>
        <w:rPr>
          <w:rFonts w:eastAsia="Arial" w:cs="Arial" w:ascii="Arial" w:hAnsi="Arial"/>
          <w:sz w:val="20"/>
          <w:szCs w:val="20"/>
        </w:rPr>
        <w:t>In consideration of the mutual obligations set out herein, the parties hereby agree that:</w:t>
      </w:r>
    </w:p>
    <w:p>
      <w:pPr>
        <w:pStyle w:val="normal1"/>
        <w:rPr>
          <w:rFonts w:ascii="Arial" w:hAnsi="Arial" w:eastAsia="Arial" w:cs="Arial"/>
          <w:sz w:val="20"/>
          <w:szCs w:val="20"/>
        </w:rPr>
      </w:pPr>
      <w:r>
        <w:rPr>
          <w:rFonts w:eastAsia="Arial" w:cs="Arial" w:ascii="Arial" w:hAnsi="Arial"/>
          <w:sz w:val="20"/>
          <w:szCs w:val="20"/>
        </w:rPr>
        <w:t>The terms and conditions set out below shall be added as an addendum to the Principal Agreement.</w:t>
      </w:r>
    </w:p>
    <w:p>
      <w:pPr>
        <w:pStyle w:val="normal1"/>
        <w:rPr>
          <w:rFonts w:ascii="Arial" w:hAnsi="Arial" w:eastAsia="Arial" w:cs="Arial"/>
          <w:sz w:val="20"/>
          <w:szCs w:val="20"/>
        </w:rPr>
      </w:pPr>
      <w:r>
        <w:rPr>
          <w:rFonts w:eastAsia="Arial" w:cs="Arial" w:ascii="Arial" w:hAnsi="Arial"/>
          <w:sz w:val="20"/>
          <w:szCs w:val="20"/>
        </w:rPr>
        <w:t>Except where the context requires otherwise, references in this DPA to the Principal Agreement are to the Principal Agreement as amended by, and including, this DPA.</w:t>
      </w:r>
    </w:p>
    <w:p>
      <w:pPr>
        <w:pStyle w:val="normal1"/>
        <w:rPr>
          <w:rFonts w:ascii="Arial" w:hAnsi="Arial" w:eastAsia="Arial" w:cs="Arial"/>
          <w:b/>
          <w:bCs/>
          <w:sz w:val="20"/>
          <w:szCs w:val="20"/>
        </w:rPr>
      </w:pPr>
      <w:r>
        <w:rPr>
          <w:rFonts w:eastAsia="Arial" w:cs="Arial" w:ascii="Arial" w:hAnsi="Arial"/>
          <w:b/>
          <w:bCs/>
          <w:sz w:val="20"/>
          <w:szCs w:val="20"/>
        </w:rPr>
        <w:t>DEFINITIONS AND INTERPRETATION</w:t>
      </w:r>
    </w:p>
    <w:p>
      <w:pPr>
        <w:pStyle w:val="normal1"/>
        <w:tabs>
          <w:tab w:val="left" w:pos="720" w:leader="none"/>
        </w:tabs>
        <w:rPr>
          <w:rFonts w:ascii="Arial" w:hAnsi="Arial" w:eastAsia="Arial" w:cs="Arial"/>
          <w:sz w:val="20"/>
          <w:szCs w:val="20"/>
        </w:rPr>
      </w:pPr>
      <w:r>
        <w:rPr>
          <w:rFonts w:eastAsia="Arial" w:cs="Arial" w:ascii="Arial" w:hAnsi="Arial"/>
          <w:sz w:val="20"/>
          <w:szCs w:val="20"/>
        </w:rPr>
        <w:t>In this DPA, the following terms shall have the meanings set out below and cognate terms shall be construed accordingly: Company</w:t>
      </w:r>
    </w:p>
    <w:p>
      <w:pPr>
        <w:pStyle w:val="normal1"/>
        <w:rPr>
          <w:rFonts w:ascii="Arial" w:hAnsi="Arial" w:eastAsia="Arial" w:cs="Arial"/>
          <w:sz w:val="20"/>
          <w:szCs w:val="20"/>
        </w:rPr>
      </w:pPr>
      <w:r>
        <w:rPr>
          <w:rFonts w:eastAsia="Arial" w:cs="Arial" w:ascii="Arial" w:hAnsi="Arial"/>
          <w:sz w:val="20"/>
          <w:szCs w:val="20"/>
        </w:rPr>
        <w:t>"</w:t>
      </w:r>
      <w:r>
        <w:rPr>
          <w:rFonts w:eastAsia="Arial" w:cs="Arial" w:ascii="Arial" w:hAnsi="Arial"/>
          <w:b/>
          <w:bCs/>
          <w:sz w:val="20"/>
          <w:szCs w:val="20"/>
        </w:rPr>
        <w:t>GDPR</w:t>
      </w:r>
      <w:r>
        <w:rPr>
          <w:rFonts w:eastAsia="Arial" w:cs="Arial" w:ascii="Arial" w:hAnsi="Arial"/>
          <w:sz w:val="20"/>
          <w:szCs w:val="20"/>
        </w:rPr>
        <w:t>" means EU General Data Protection Regulation 2016/679;</w:t>
      </w:r>
    </w:p>
    <w:p>
      <w:pPr>
        <w:pStyle w:val="normal1"/>
        <w:rPr>
          <w:rFonts w:ascii="Arial" w:hAnsi="Arial" w:eastAsia="Arial" w:cs="Arial"/>
          <w:sz w:val="20"/>
          <w:szCs w:val="20"/>
        </w:rPr>
      </w:pPr>
      <w:r>
        <w:rPr>
          <w:rFonts w:eastAsia="Arial" w:cs="Arial" w:ascii="Arial" w:hAnsi="Arial"/>
          <w:sz w:val="20"/>
          <w:szCs w:val="20"/>
        </w:rPr>
        <w:t>The terms, "</w:t>
      </w:r>
      <w:r>
        <w:rPr>
          <w:rFonts w:eastAsia="Arial" w:cs="Arial" w:ascii="Arial" w:hAnsi="Arial"/>
          <w:b/>
          <w:bCs/>
          <w:sz w:val="20"/>
          <w:szCs w:val="20"/>
        </w:rPr>
        <w:t>Commission</w:t>
      </w:r>
      <w:r>
        <w:rPr>
          <w:rFonts w:eastAsia="Arial" w:cs="Arial" w:ascii="Arial" w:hAnsi="Arial"/>
          <w:sz w:val="20"/>
          <w:szCs w:val="20"/>
        </w:rPr>
        <w:t>", "</w:t>
      </w:r>
      <w:r>
        <w:rPr>
          <w:rFonts w:eastAsia="Arial" w:cs="Arial" w:ascii="Arial" w:hAnsi="Arial"/>
          <w:b/>
          <w:bCs/>
          <w:sz w:val="20"/>
          <w:szCs w:val="20"/>
        </w:rPr>
        <w:t>Controller</w:t>
      </w:r>
      <w:r>
        <w:rPr>
          <w:rFonts w:eastAsia="Arial" w:cs="Arial" w:ascii="Arial" w:hAnsi="Arial"/>
          <w:sz w:val="20"/>
          <w:szCs w:val="20"/>
        </w:rPr>
        <w:t>", “</w:t>
      </w:r>
      <w:r>
        <w:rPr>
          <w:rFonts w:eastAsia="Arial" w:cs="Arial" w:ascii="Arial" w:hAnsi="Arial"/>
          <w:b/>
          <w:bCs/>
          <w:sz w:val="20"/>
          <w:szCs w:val="20"/>
        </w:rPr>
        <w:t>Processor</w:t>
      </w:r>
      <w:r>
        <w:rPr>
          <w:rFonts w:eastAsia="Arial" w:cs="Arial" w:ascii="Arial" w:hAnsi="Arial"/>
          <w:sz w:val="20"/>
          <w:szCs w:val="20"/>
        </w:rPr>
        <w:t>”, "</w:t>
      </w:r>
      <w:r>
        <w:rPr>
          <w:rFonts w:eastAsia="Arial" w:cs="Arial" w:ascii="Arial" w:hAnsi="Arial"/>
          <w:b/>
          <w:bCs/>
          <w:sz w:val="20"/>
          <w:szCs w:val="20"/>
        </w:rPr>
        <w:t>Data Subject</w:t>
      </w:r>
      <w:r>
        <w:rPr>
          <w:rFonts w:eastAsia="Arial" w:cs="Arial" w:ascii="Arial" w:hAnsi="Arial"/>
          <w:sz w:val="20"/>
          <w:szCs w:val="20"/>
        </w:rPr>
        <w:t>", "</w:t>
      </w:r>
      <w:r>
        <w:rPr>
          <w:rFonts w:eastAsia="Arial" w:cs="Arial" w:ascii="Arial" w:hAnsi="Arial"/>
          <w:b/>
          <w:bCs/>
          <w:sz w:val="20"/>
          <w:szCs w:val="20"/>
        </w:rPr>
        <w:t>Member State</w:t>
      </w:r>
      <w:r>
        <w:rPr>
          <w:rFonts w:eastAsia="Arial" w:cs="Arial" w:ascii="Arial" w:hAnsi="Arial"/>
          <w:sz w:val="20"/>
          <w:szCs w:val="20"/>
        </w:rPr>
        <w:t>", "</w:t>
      </w:r>
      <w:r>
        <w:rPr>
          <w:rFonts w:eastAsia="Arial" w:cs="Arial" w:ascii="Arial" w:hAnsi="Arial"/>
          <w:b/>
          <w:bCs/>
          <w:sz w:val="20"/>
          <w:szCs w:val="20"/>
        </w:rPr>
        <w:t>Personal Data</w:t>
      </w:r>
      <w:r>
        <w:rPr>
          <w:rFonts w:eastAsia="Arial" w:cs="Arial" w:ascii="Arial" w:hAnsi="Arial"/>
          <w:sz w:val="20"/>
          <w:szCs w:val="20"/>
        </w:rPr>
        <w:t>", "</w:t>
      </w:r>
      <w:r>
        <w:rPr>
          <w:rFonts w:eastAsia="Arial" w:cs="Arial" w:ascii="Arial" w:hAnsi="Arial"/>
          <w:b/>
          <w:bCs/>
          <w:sz w:val="20"/>
          <w:szCs w:val="20"/>
        </w:rPr>
        <w:t>Personal Data Breach</w:t>
      </w:r>
      <w:r>
        <w:rPr>
          <w:rFonts w:eastAsia="Arial" w:cs="Arial" w:ascii="Arial" w:hAnsi="Arial"/>
          <w:sz w:val="20"/>
          <w:szCs w:val="20"/>
        </w:rPr>
        <w:t>",</w:t>
      </w:r>
      <w:r>
        <w:rPr>
          <w:rFonts w:eastAsia="Arial" w:cs="Arial" w:ascii="Arial" w:hAnsi="Arial"/>
          <w:b/>
          <w:bCs/>
          <w:sz w:val="20"/>
          <w:szCs w:val="20"/>
        </w:rPr>
        <w:t xml:space="preserve"> </w:t>
      </w:r>
      <w:r>
        <w:rPr>
          <w:rFonts w:eastAsia="Arial" w:cs="Arial" w:ascii="Arial" w:hAnsi="Arial"/>
          <w:sz w:val="20"/>
          <w:szCs w:val="20"/>
        </w:rPr>
        <w:t>"</w:t>
      </w:r>
      <w:r>
        <w:rPr>
          <w:rFonts w:eastAsia="Arial" w:cs="Arial" w:ascii="Arial" w:hAnsi="Arial"/>
          <w:b/>
          <w:bCs/>
          <w:sz w:val="20"/>
          <w:szCs w:val="20"/>
        </w:rPr>
        <w:t>Processing</w:t>
      </w:r>
      <w:r>
        <w:rPr>
          <w:rFonts w:eastAsia="Arial" w:cs="Arial" w:ascii="Arial" w:hAnsi="Arial"/>
          <w:sz w:val="20"/>
          <w:szCs w:val="20"/>
        </w:rPr>
        <w:t>" and "</w:t>
      </w:r>
      <w:r>
        <w:rPr>
          <w:rFonts w:eastAsia="Arial" w:cs="Arial" w:ascii="Arial" w:hAnsi="Arial"/>
          <w:b/>
          <w:bCs/>
          <w:sz w:val="20"/>
          <w:szCs w:val="20"/>
        </w:rPr>
        <w:t>Supervisory Authority</w:t>
      </w:r>
      <w:r>
        <w:rPr>
          <w:rFonts w:eastAsia="Arial" w:cs="Arial" w:ascii="Arial" w:hAnsi="Arial"/>
          <w:sz w:val="20"/>
          <w:szCs w:val="20"/>
        </w:rPr>
        <w:t>" shall have the same meaning as in the GDPR, and their cognate terms shall be construed accordingly;</w:t>
      </w:r>
    </w:p>
    <w:p>
      <w:pPr>
        <w:pStyle w:val="normal1"/>
        <w:rPr>
          <w:rFonts w:ascii="Arial" w:hAnsi="Arial" w:eastAsia="Arial" w:cs="Arial"/>
          <w:sz w:val="20"/>
          <w:szCs w:val="20"/>
        </w:rPr>
      </w:pPr>
      <w:r>
        <w:rPr>
          <w:rFonts w:eastAsia="Arial" w:cs="Arial" w:ascii="Arial" w:hAnsi="Arial"/>
          <w:sz w:val="20"/>
          <w:szCs w:val="20"/>
        </w:rPr>
        <w:t>"</w:t>
      </w:r>
      <w:r>
        <w:rPr>
          <w:rFonts w:eastAsia="Arial" w:cs="Arial" w:ascii="Arial" w:hAnsi="Arial"/>
          <w:sz w:val="20"/>
          <w:szCs w:val="20"/>
          <w:highlight w:val="yellow"/>
        </w:rPr>
        <w:t>Company</w:t>
      </w:r>
      <w:r>
        <w:rPr>
          <w:rFonts w:eastAsia="Arial" w:cs="Arial" w:ascii="Arial" w:hAnsi="Arial"/>
          <w:sz w:val="20"/>
          <w:szCs w:val="20"/>
        </w:rPr>
        <w:t>’</w:t>
      </w:r>
      <w:r>
        <w:rPr>
          <w:rFonts w:eastAsia="Arial" w:cs="Arial" w:ascii="Arial" w:hAnsi="Arial"/>
          <w:b/>
          <w:bCs/>
          <w:sz w:val="20"/>
          <w:szCs w:val="20"/>
        </w:rPr>
        <w:t>s Personal Data</w:t>
      </w:r>
      <w:r>
        <w:rPr>
          <w:rFonts w:eastAsia="Arial" w:cs="Arial" w:ascii="Arial" w:hAnsi="Arial"/>
          <w:sz w:val="20"/>
          <w:szCs w:val="20"/>
        </w:rPr>
        <w:t xml:space="preserve">" means any Personal Data Processed by a Processor on behalf of Data Controller pursuant to or in connection with the Principal Agreement; </w:t>
      </w:r>
    </w:p>
    <w:p>
      <w:pPr>
        <w:pStyle w:val="normal1"/>
        <w:tabs>
          <w:tab w:val="clear" w:pos="720"/>
          <w:tab w:val="left" w:pos="1800" w:leader="none"/>
        </w:tabs>
        <w:rPr>
          <w:rFonts w:ascii="Arial" w:hAnsi="Arial" w:eastAsia="Arial" w:cs="Arial"/>
          <w:sz w:val="20"/>
          <w:szCs w:val="20"/>
        </w:rPr>
      </w:pPr>
      <w:r>
        <w:rPr>
          <w:rFonts w:eastAsia="Arial" w:cs="Arial" w:ascii="Arial" w:hAnsi="Arial"/>
          <w:sz w:val="20"/>
          <w:szCs w:val="20"/>
        </w:rPr>
        <w:t>"</w:t>
      </w:r>
      <w:r>
        <w:rPr>
          <w:rFonts w:eastAsia="Arial" w:cs="Arial" w:ascii="Arial" w:hAnsi="Arial"/>
          <w:b/>
          <w:bCs/>
          <w:sz w:val="20"/>
          <w:szCs w:val="20"/>
        </w:rPr>
        <w:t>Standard</w:t>
      </w:r>
      <w:r>
        <w:rPr>
          <w:rFonts w:eastAsia="Arial" w:cs="Arial" w:ascii="Arial" w:hAnsi="Arial"/>
          <w:sz w:val="20"/>
          <w:szCs w:val="20"/>
        </w:rPr>
        <w:t xml:space="preserve"> </w:t>
      </w:r>
      <w:r>
        <w:rPr>
          <w:rFonts w:eastAsia="Arial" w:cs="Arial" w:ascii="Arial" w:hAnsi="Arial"/>
          <w:b/>
          <w:bCs/>
          <w:sz w:val="20"/>
          <w:szCs w:val="20"/>
        </w:rPr>
        <w:t>Contractual Clauses</w:t>
      </w:r>
      <w:r>
        <w:rPr>
          <w:rFonts w:eastAsia="Arial" w:cs="Arial" w:ascii="Arial" w:hAnsi="Arial"/>
          <w:sz w:val="20"/>
          <w:szCs w:val="20"/>
        </w:rPr>
        <w:t>" means the contractual clauses for the transfer of personal data to third countries adopted by the European Commission in Implementing Decision (EU) 2021/914 of 4 June 2021 (including the relevant modules set out in the Annex thereto), as amended, replaced or superseded from time to time;</w:t>
      </w:r>
    </w:p>
    <w:p>
      <w:pPr>
        <w:pStyle w:val="normal1"/>
        <w:tabs>
          <w:tab w:val="clear" w:pos="720"/>
          <w:tab w:val="left" w:pos="1800" w:leader="none"/>
        </w:tabs>
        <w:rPr>
          <w:rFonts w:ascii="Arial" w:hAnsi="Arial" w:eastAsia="Arial" w:cs="Arial"/>
          <w:sz w:val="20"/>
          <w:szCs w:val="20"/>
        </w:rPr>
      </w:pPr>
      <w:r>
        <w:rPr>
          <w:rFonts w:eastAsia="Arial" w:cs="Arial" w:ascii="Arial" w:hAnsi="Arial"/>
          <w:sz w:val="20"/>
          <w:szCs w:val="20"/>
        </w:rPr>
        <w:t>"</w:t>
      </w:r>
      <w:r>
        <w:rPr>
          <w:rFonts w:eastAsia="Arial" w:cs="Arial" w:ascii="Arial" w:hAnsi="Arial"/>
          <w:b/>
          <w:bCs/>
          <w:sz w:val="20"/>
          <w:szCs w:val="20"/>
        </w:rPr>
        <w:t>Subprocessor</w:t>
      </w:r>
      <w:r>
        <w:rPr>
          <w:rFonts w:eastAsia="Arial" w:cs="Arial" w:ascii="Arial" w:hAnsi="Arial"/>
          <w:sz w:val="20"/>
          <w:szCs w:val="20"/>
        </w:rPr>
        <w:t xml:space="preserve">" means any person appointed by or on behalf of Vendor to Process Personal Data on behalf of </w:t>
      </w:r>
      <w:r>
        <w:rPr>
          <w:rFonts w:eastAsia="Arial" w:cs="Arial" w:ascii="Arial" w:hAnsi="Arial"/>
          <w:sz w:val="20"/>
          <w:szCs w:val="20"/>
          <w:highlight w:val="yellow"/>
        </w:rPr>
        <w:t>Company</w:t>
      </w:r>
      <w:r>
        <w:rPr>
          <w:rFonts w:eastAsia="Arial" w:cs="Arial" w:ascii="Arial" w:hAnsi="Arial"/>
          <w:sz w:val="20"/>
          <w:szCs w:val="20"/>
        </w:rPr>
        <w:t xml:space="preserve"> in connection with the Principal Agreement; and</w:t>
      </w:r>
    </w:p>
    <w:p>
      <w:pPr>
        <w:pStyle w:val="normal1"/>
        <w:tabs>
          <w:tab w:val="clear" w:pos="720"/>
          <w:tab w:val="left" w:pos="1800" w:leader="none"/>
        </w:tabs>
        <w:rPr>
          <w:rFonts w:ascii="Arial" w:hAnsi="Arial" w:eastAsia="Arial" w:cs="Arial"/>
          <w:sz w:val="20"/>
          <w:szCs w:val="20"/>
        </w:rPr>
      </w:pPr>
      <w:r>
        <w:rPr>
          <w:rFonts w:eastAsia="Arial" w:cs="Arial" w:ascii="Arial" w:hAnsi="Arial"/>
          <w:sz w:val="20"/>
          <w:szCs w:val="20"/>
        </w:rPr>
        <w:t>‘</w:t>
      </w:r>
      <w:r>
        <w:rPr>
          <w:rFonts w:eastAsia="Arial" w:cs="Arial" w:ascii="Arial" w:hAnsi="Arial"/>
          <w:b/>
          <w:bCs/>
          <w:sz w:val="20"/>
          <w:szCs w:val="20"/>
        </w:rPr>
        <w:t>International Organisation</w:t>
      </w:r>
      <w:r>
        <w:rPr>
          <w:rFonts w:eastAsia="Arial" w:cs="Arial" w:ascii="Arial" w:hAnsi="Arial"/>
          <w:sz w:val="20"/>
          <w:szCs w:val="20"/>
        </w:rPr>
        <w:t>’ means an organisation and its subordinate bodies governed by public international law, or any other body which is set up by, or on the basis of, an agreement between two or more countries (see Article 4(26) of the GDPR);</w:t>
      </w:r>
    </w:p>
    <w:p>
      <w:pPr>
        <w:pStyle w:val="normal1"/>
        <w:tabs>
          <w:tab w:val="clear" w:pos="720"/>
          <w:tab w:val="left" w:pos="1800" w:leader="none"/>
        </w:tabs>
        <w:rPr>
          <w:rFonts w:ascii="Arial" w:hAnsi="Arial" w:eastAsia="Arial" w:cs="Arial"/>
          <w:sz w:val="20"/>
          <w:szCs w:val="20"/>
        </w:rPr>
      </w:pPr>
      <w:r>
        <w:rPr>
          <w:rFonts w:eastAsia="Arial" w:cs="Arial" w:ascii="Arial" w:hAnsi="Arial"/>
          <w:b/>
          <w:bCs/>
          <w:sz w:val="20"/>
          <w:szCs w:val="20"/>
        </w:rPr>
        <w:t>‘</w:t>
      </w:r>
      <w:r>
        <w:rPr>
          <w:rFonts w:eastAsia="Arial" w:cs="Arial" w:ascii="Arial" w:hAnsi="Arial"/>
          <w:b/>
          <w:bCs/>
          <w:sz w:val="20"/>
          <w:szCs w:val="20"/>
        </w:rPr>
        <w:t>Appropriate Safeguards’</w:t>
      </w:r>
      <w:r>
        <w:rPr>
          <w:rFonts w:eastAsia="Arial" w:cs="Arial" w:ascii="Arial" w:hAnsi="Arial"/>
          <w:sz w:val="20"/>
          <w:szCs w:val="20"/>
        </w:rPr>
        <w:t> means such legally enforceable mechanism(s) for transfers of Personal Data as may be permitted under the applicable data protection laws from time to time.</w:t>
      </w:r>
    </w:p>
    <w:p>
      <w:pPr>
        <w:pStyle w:val="normal1"/>
        <w:tabs>
          <w:tab w:val="left" w:pos="720" w:leader="none"/>
        </w:tabs>
        <w:rPr>
          <w:rFonts w:ascii="Arial" w:hAnsi="Arial" w:eastAsia="Arial" w:cs="Arial"/>
          <w:sz w:val="20"/>
          <w:szCs w:val="20"/>
        </w:rPr>
      </w:pPr>
      <w:r>
        <w:rPr>
          <w:rFonts w:eastAsia="Arial" w:cs="Arial" w:ascii="Arial" w:hAnsi="Arial"/>
          <w:sz w:val="20"/>
          <w:szCs w:val="20"/>
        </w:rPr>
        <w:t>The word "</w:t>
      </w:r>
      <w:r>
        <w:rPr>
          <w:rFonts w:eastAsia="Arial" w:cs="Arial" w:ascii="Arial" w:hAnsi="Arial"/>
          <w:b/>
          <w:bCs/>
          <w:sz w:val="20"/>
          <w:szCs w:val="20"/>
        </w:rPr>
        <w:t>include</w:t>
      </w:r>
      <w:r>
        <w:rPr>
          <w:rFonts w:eastAsia="Arial" w:cs="Arial" w:ascii="Arial" w:hAnsi="Arial"/>
          <w:sz w:val="20"/>
          <w:szCs w:val="20"/>
        </w:rPr>
        <w:t>" shall be construed to mean include without limitation, and cognate terms shall be construed accordingly.</w:t>
      </w:r>
    </w:p>
    <w:p>
      <w:pPr>
        <w:pStyle w:val="normal1"/>
        <w:rPr>
          <w:rFonts w:ascii="Arial" w:hAnsi="Arial" w:eastAsia="Arial" w:cs="Arial"/>
          <w:sz w:val="20"/>
          <w:szCs w:val="20"/>
        </w:rPr>
      </w:pPr>
      <w:bookmarkStart w:id="0" w:name="_heading=h.r8zgestvjwz"/>
      <w:bookmarkEnd w:id="0"/>
      <w:r>
        <w:rPr>
          <w:rFonts w:eastAsia="Arial" w:cs="Arial" w:ascii="Arial" w:hAnsi="Arial"/>
          <w:sz w:val="20"/>
          <w:szCs w:val="20"/>
        </w:rPr>
        <w:t>Capitalized terms not otherwise defined herein shall have the meaning given to them in the Principal Agreement.</w:t>
        <w:br/>
        <w:br/>
      </w:r>
    </w:p>
    <w:p>
      <w:pPr>
        <w:pStyle w:val="normal1"/>
        <w:rPr>
          <w:rFonts w:ascii="Arial" w:hAnsi="Arial" w:eastAsia="Arial" w:cs="Arial"/>
          <w:b/>
          <w:bCs/>
          <w:sz w:val="20"/>
          <w:szCs w:val="20"/>
        </w:rPr>
      </w:pPr>
      <w:r>
        <w:rPr>
          <w:rFonts w:eastAsia="Arial" w:cs="Arial" w:ascii="Arial" w:hAnsi="Arial"/>
          <w:b/>
          <w:bCs/>
          <w:sz w:val="20"/>
          <w:szCs w:val="20"/>
        </w:rPr>
      </w:r>
    </w:p>
    <w:p>
      <w:pPr>
        <w:pStyle w:val="normal1"/>
        <w:keepNext w:val="false"/>
        <w:keepLines w:val="false"/>
        <w:pageBreakBefore w:val="false"/>
        <w:widowControl/>
        <w:numPr>
          <w:ilvl w:val="0"/>
          <w:numId w:val="1"/>
        </w:numPr>
        <w:pBdr/>
        <w:shd w:val="clear" w:fill="auto"/>
        <w:spacing w:lineRule="auto" w:line="276" w:before="0" w:after="0"/>
        <w:ind w:hanging="363" w:left="720" w:right="0"/>
        <w:jc w:val="left"/>
        <w:rPr>
          <w:rFonts w:ascii="Arial" w:hAnsi="Arial" w:eastAsia="Arial" w:cs="Arial"/>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bCs/>
          <w:i w:val="false"/>
          <w:iCs w:val="false"/>
          <w:caps w:val="false"/>
          <w:smallCaps w:val="false"/>
          <w:strike w:val="false"/>
          <w:dstrike w:val="false"/>
          <w:color w:val="000000"/>
          <w:position w:val="0"/>
          <w:sz w:val="20"/>
          <w:sz w:val="20"/>
          <w:szCs w:val="20"/>
          <w:u w:val="none"/>
          <w:shd w:fill="auto" w:val="clear"/>
          <w:vertAlign w:val="baseline"/>
        </w:rPr>
        <w:t xml:space="preserve">PROCESSING OF </w:t>
      </w:r>
      <w:r>
        <w:rPr>
          <w:rFonts w:eastAsia="Arial" w:cs="Arial" w:ascii="Arial" w:hAnsi="Arial"/>
          <w:b/>
          <w:bCs/>
          <w:i w:val="false"/>
          <w:iCs w:val="false"/>
          <w:caps w:val="false"/>
          <w:smallCaps w:val="false"/>
          <w:strike w:val="false"/>
          <w:dstrike w:val="false"/>
          <w:color w:val="000000"/>
          <w:position w:val="0"/>
          <w:sz w:val="20"/>
          <w:sz w:val="20"/>
          <w:szCs w:val="20"/>
          <w:highlight w:val="yellow"/>
          <w:u w:val="none"/>
          <w:vertAlign w:val="baseline"/>
        </w:rPr>
        <w:t>COMPANY</w:t>
      </w:r>
      <w:r>
        <w:rPr>
          <w:rFonts w:eastAsia="Arial" w:cs="Arial" w:ascii="Arial" w:hAnsi="Arial"/>
          <w:b/>
          <w:bCs/>
          <w:i w:val="false"/>
          <w:iCs w:val="false"/>
          <w:caps w:val="false"/>
          <w:smallCaps w:val="false"/>
          <w:strike w:val="false"/>
          <w:dstrike w:val="false"/>
          <w:color w:val="000000"/>
          <w:position w:val="0"/>
          <w:sz w:val="20"/>
          <w:sz w:val="20"/>
          <w:szCs w:val="20"/>
          <w:u w:val="none"/>
          <w:shd w:fill="auto" w:val="clear"/>
          <w:vertAlign w:val="baseline"/>
        </w:rPr>
        <w:t xml:space="preserve"> PERSONAL DATA</w:t>
      </w:r>
    </w:p>
    <w:p>
      <w:pPr>
        <w:pStyle w:val="normal1"/>
        <w:keepNext w:val="false"/>
        <w:keepLines w:val="false"/>
        <w:pageBreakBefore w:val="false"/>
        <w:widowControl/>
        <w:numPr>
          <w:ilvl w:val="1"/>
          <w:numId w:val="1"/>
        </w:numPr>
        <w:pBdr/>
        <w:shd w:val="clear" w:fill="auto"/>
        <w:tabs>
          <w:tab w:val="left" w:pos="720" w:leader="none"/>
        </w:tabs>
        <w:spacing w:lineRule="auto" w:line="276" w:before="0" w:after="0"/>
        <w:ind w:hanging="363" w:left="720" w:right="0"/>
        <w:jc w:val="left"/>
        <w:rPr>
          <w:rFonts w:ascii="Arial" w:hAnsi="Arial" w:eastAsia="Arial" w:cs="Arial"/>
          <w:b w:val="false"/>
          <w:bCs w:val="false"/>
          <w:i w:val="false"/>
          <w:i w:val="false"/>
          <w:iCs w:val="false"/>
          <w:caps w:val="false"/>
          <w:smallCaps w:val="false"/>
          <w:strike w:val="false"/>
          <w:dstrike w:val="false"/>
          <w:color w:val="808080"/>
          <w:position w:val="0"/>
          <w:sz w:val="20"/>
          <w:sz w:val="20"/>
          <w:szCs w:val="20"/>
          <w:u w:val="none"/>
          <w:shd w:fill="auto" w:val="clear"/>
          <w:vertAlign w:val="baseline"/>
        </w:rPr>
      </w:pPr>
      <w:bookmarkStart w:id="1" w:name="_heading=h.dvdjcj3geols"/>
      <w:bookmarkEnd w:id="1"/>
      <w:r>
        <w:rPr>
          <w:rFonts w:eastAsia="Arial" w:cs="Arial" w:ascii="Arial" w:hAnsi="Arial"/>
          <w:b/>
          <w:bCs/>
          <w:i w:val="false"/>
          <w:iCs w:val="false"/>
          <w:caps w:val="false"/>
          <w:smallCaps w:val="false"/>
          <w:strike w:val="false"/>
          <w:dstrike w:val="false"/>
          <w:color w:val="000000"/>
          <w:position w:val="0"/>
          <w:sz w:val="20"/>
          <w:sz w:val="20"/>
          <w:szCs w:val="20"/>
          <w:u w:val="none"/>
          <w:shd w:fill="auto" w:val="clear"/>
          <w:vertAlign w:val="baseline"/>
        </w:rPr>
        <w:t>Role of the Parties.</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The Parties acknowledge and agree that with regard to the Processing of Personal Data, </w:t>
      </w:r>
      <w:r>
        <w:rPr>
          <w:rFonts w:eastAsia="Arial" w:cs="Arial" w:ascii="Arial" w:hAnsi="Arial"/>
          <w:b w:val="false"/>
          <w:bCs w:val="false"/>
          <w:i w:val="false"/>
          <w:iCs w:val="false"/>
          <w:caps w:val="false"/>
          <w:smallCaps w:val="false"/>
          <w:strike w:val="false"/>
          <w:dstrike w:val="false"/>
          <w:color w:val="000000"/>
          <w:position w:val="0"/>
          <w:sz w:val="20"/>
          <w:sz w:val="20"/>
          <w:szCs w:val="20"/>
          <w:highlight w:val="yellow"/>
          <w:u w:val="none"/>
          <w:vertAlign w:val="baseline"/>
        </w:rPr>
        <w:t>Company</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is the Controller, Vendor is the Processor and that Vendor will only engage Subprocessors pursuant to the requirements set out in Clause </w:t>
      </w:r>
      <w:r>
        <w:rPr>
          <w:rFonts w:eastAsia="Arial" w:cs="Arial" w:ascii="Arial" w:hAnsi="Arial"/>
          <w:sz w:val="20"/>
          <w:szCs w:val="20"/>
        </w:rPr>
        <w:t>4</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Subprocess</w:t>
      </w:r>
      <w:r>
        <w:rPr>
          <w:rFonts w:eastAsia="Arial" w:cs="Arial" w:ascii="Arial" w:hAnsi="Arial"/>
          <w:sz w:val="20"/>
          <w:szCs w:val="20"/>
        </w:rPr>
        <w:t>ing</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below.</w:t>
      </w:r>
      <w:r>
        <w:rPr>
          <w:rFonts w:eastAsia="Arial" w:cs="Arial" w:ascii="Arial" w:hAnsi="Arial"/>
          <w:b w:val="false"/>
          <w:bCs w:val="false"/>
          <w:i w:val="false"/>
          <w:iCs w:val="false"/>
          <w:caps w:val="false"/>
          <w:smallCaps w:val="false"/>
          <w:strike w:val="false"/>
          <w:dstrike w:val="false"/>
          <w:color w:val="808080"/>
          <w:position w:val="0"/>
          <w:sz w:val="20"/>
          <w:sz w:val="20"/>
          <w:szCs w:val="20"/>
          <w:u w:val="none"/>
          <w:shd w:fill="auto" w:val="clear"/>
          <w:vertAlign w:val="baseline"/>
        </w:rPr>
        <w:t xml:space="preserve"> </w:t>
      </w:r>
    </w:p>
    <w:p>
      <w:pPr>
        <w:pStyle w:val="normal1"/>
        <w:keepNext w:val="false"/>
        <w:keepLines w:val="false"/>
        <w:pageBreakBefore w:val="false"/>
        <w:widowControl/>
        <w:numPr>
          <w:ilvl w:val="1"/>
          <w:numId w:val="1"/>
        </w:numPr>
        <w:pBdr/>
        <w:shd w:val="clear" w:fill="auto"/>
        <w:tabs>
          <w:tab w:val="left" w:pos="720" w:leader="none"/>
        </w:tabs>
        <w:spacing w:lineRule="auto" w:line="276" w:before="0" w:after="0"/>
        <w:ind w:hanging="363" w:left="720" w:right="0"/>
        <w:jc w:val="left"/>
        <w:rPr>
          <w:rFonts w:ascii="Arial" w:hAnsi="Arial" w:eastAsia="Arial" w:cs="Arial"/>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bCs/>
          <w:i w:val="false"/>
          <w:iCs w:val="false"/>
          <w:caps w:val="false"/>
          <w:smallCaps w:val="false"/>
          <w:strike w:val="false"/>
          <w:dstrike w:val="false"/>
          <w:color w:val="000000"/>
          <w:position w:val="0"/>
          <w:sz w:val="20"/>
          <w:sz w:val="20"/>
          <w:szCs w:val="20"/>
          <w:u w:val="none"/>
          <w:shd w:fill="auto" w:val="clear"/>
          <w:vertAlign w:val="baseline"/>
        </w:rPr>
        <w:t>Data Controller’s Processing of Personal Data.</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Data Controller shall, in its use of the Services and instructions </w:t>
      </w:r>
      <w:r>
        <w:rPr>
          <w:rFonts w:eastAsia="Arial" w:cs="Arial" w:ascii="Arial" w:hAnsi="Arial"/>
          <w:sz w:val="20"/>
          <w:szCs w:val="20"/>
        </w:rPr>
        <w:t>from</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Vendor:</w:t>
      </w:r>
    </w:p>
    <w:p>
      <w:pPr>
        <w:pStyle w:val="normal1"/>
        <w:keepNext w:val="false"/>
        <w:keepLines w:val="false"/>
        <w:pageBreakBefore w:val="false"/>
        <w:widowControl/>
        <w:numPr>
          <w:ilvl w:val="0"/>
          <w:numId w:val="3"/>
        </w:numPr>
        <w:pBdr/>
        <w:shd w:val="clear" w:fill="auto"/>
        <w:spacing w:lineRule="auto" w:line="276" w:before="0" w:after="0"/>
        <w:ind w:hanging="360" w:left="720" w:right="0"/>
        <w:jc w:val="left"/>
        <w:rPr>
          <w:rFonts w:ascii="Arial" w:hAnsi="Arial" w:eastAsia="Arial" w:cs="Arial"/>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comply with all applicable data protection laws in the Processing of </w:t>
      </w:r>
      <w:r>
        <w:rPr>
          <w:rFonts w:eastAsia="Arial" w:cs="Arial" w:ascii="Arial" w:hAnsi="Arial"/>
          <w:b w:val="false"/>
          <w:bCs w:val="false"/>
          <w:i w:val="false"/>
          <w:iCs w:val="false"/>
          <w:caps w:val="false"/>
          <w:smallCaps w:val="false"/>
          <w:strike w:val="false"/>
          <w:dstrike w:val="false"/>
          <w:color w:val="000000"/>
          <w:position w:val="0"/>
          <w:sz w:val="20"/>
          <w:sz w:val="20"/>
          <w:szCs w:val="20"/>
          <w:highlight w:val="yellow"/>
          <w:u w:val="none"/>
          <w:vertAlign w:val="baseline"/>
        </w:rPr>
        <w:t>Company</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Personal Data; and</w:t>
      </w:r>
    </w:p>
    <w:p>
      <w:pPr>
        <w:pStyle w:val="normal1"/>
        <w:keepNext w:val="false"/>
        <w:keepLines w:val="false"/>
        <w:pageBreakBefore w:val="false"/>
        <w:widowControl/>
        <w:numPr>
          <w:ilvl w:val="0"/>
          <w:numId w:val="3"/>
        </w:numPr>
        <w:pBdr/>
        <w:shd w:val="clear" w:fill="auto"/>
        <w:spacing w:lineRule="auto" w:line="276" w:before="0" w:after="0"/>
        <w:ind w:hanging="360" w:left="720" w:right="0"/>
        <w:jc w:val="left"/>
        <w:rPr>
          <w:rFonts w:ascii="Arial" w:hAnsi="Arial" w:eastAsia="Arial" w:cs="Arial"/>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have sole responsibility for the accuracy, quality and legality of Personal Data and the means by which </w:t>
      </w:r>
      <w:r>
        <w:rPr>
          <w:rFonts w:eastAsia="Arial" w:cs="Arial" w:ascii="Arial" w:hAnsi="Arial"/>
          <w:b w:val="false"/>
          <w:bCs w:val="false"/>
          <w:i w:val="false"/>
          <w:iCs w:val="false"/>
          <w:caps w:val="false"/>
          <w:smallCaps w:val="false"/>
          <w:strike w:val="false"/>
          <w:dstrike w:val="false"/>
          <w:color w:val="000000"/>
          <w:position w:val="0"/>
          <w:sz w:val="20"/>
          <w:sz w:val="20"/>
          <w:szCs w:val="20"/>
          <w:highlight w:val="yellow"/>
          <w:u w:val="none"/>
          <w:vertAlign w:val="baseline"/>
        </w:rPr>
        <w:t>Company</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acquired Personal Data. </w:t>
      </w:r>
    </w:p>
    <w:p>
      <w:pPr>
        <w:pStyle w:val="normal1"/>
        <w:keepNext w:val="false"/>
        <w:keepLines w:val="false"/>
        <w:pageBreakBefore w:val="false"/>
        <w:widowControl/>
        <w:numPr>
          <w:ilvl w:val="1"/>
          <w:numId w:val="1"/>
        </w:numPr>
        <w:pBdr/>
        <w:shd w:val="clear" w:fill="auto"/>
        <w:tabs>
          <w:tab w:val="left" w:pos="720" w:leader="none"/>
        </w:tabs>
        <w:spacing w:lineRule="auto" w:line="276" w:before="0" w:after="0"/>
        <w:ind w:hanging="363" w:left="720" w:right="0"/>
        <w:jc w:val="left"/>
        <w:rPr>
          <w:rFonts w:ascii="Arial" w:hAnsi="Arial" w:eastAsia="Arial" w:cs="Arial"/>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bCs/>
          <w:i w:val="false"/>
          <w:iCs w:val="false"/>
          <w:caps w:val="false"/>
          <w:smallCaps w:val="false"/>
          <w:strike w:val="false"/>
          <w:dstrike w:val="false"/>
          <w:color w:val="000000"/>
          <w:position w:val="0"/>
          <w:sz w:val="20"/>
          <w:sz w:val="20"/>
          <w:szCs w:val="20"/>
          <w:u w:val="none"/>
          <w:shd w:fill="auto" w:val="clear"/>
          <w:vertAlign w:val="baseline"/>
        </w:rPr>
        <w:t>Vendor’s Processing of Personal Data.</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Vendor shall:</w:t>
      </w:r>
    </w:p>
    <w:p>
      <w:pPr>
        <w:pStyle w:val="normal1"/>
        <w:keepNext w:val="false"/>
        <w:keepLines w:val="false"/>
        <w:pageBreakBefore w:val="false"/>
        <w:widowControl/>
        <w:numPr>
          <w:ilvl w:val="0"/>
          <w:numId w:val="2"/>
        </w:numPr>
        <w:pBdr/>
        <w:shd w:val="clear" w:fill="auto"/>
        <w:tabs>
          <w:tab w:val="clear" w:pos="720"/>
          <w:tab w:val="left" w:pos="1800" w:leader="none"/>
        </w:tabs>
        <w:spacing w:lineRule="auto" w:line="276" w:before="0" w:after="0"/>
        <w:ind w:hanging="360" w:left="720" w:right="0"/>
        <w:jc w:val="left"/>
        <w:rPr>
          <w:rFonts w:ascii="Arial" w:hAnsi="Arial" w:eastAsia="Arial" w:cs="Arial"/>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comply with all applicable data protection laws in the Processing of </w:t>
      </w:r>
      <w:r>
        <w:rPr>
          <w:rFonts w:eastAsia="Arial" w:cs="Arial" w:ascii="Arial" w:hAnsi="Arial"/>
          <w:b w:val="false"/>
          <w:bCs w:val="false"/>
          <w:i w:val="false"/>
          <w:iCs w:val="false"/>
          <w:caps w:val="false"/>
          <w:smallCaps w:val="false"/>
          <w:strike w:val="false"/>
          <w:dstrike w:val="false"/>
          <w:color w:val="000000"/>
          <w:position w:val="0"/>
          <w:sz w:val="20"/>
          <w:sz w:val="20"/>
          <w:szCs w:val="20"/>
          <w:highlight w:val="yellow"/>
          <w:u w:val="none"/>
          <w:vertAlign w:val="baseline"/>
        </w:rPr>
        <w:t>Company</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Personal Data and shall not by any act or omission cause </w:t>
      </w:r>
      <w:r>
        <w:rPr>
          <w:rFonts w:eastAsia="Arial" w:cs="Arial" w:ascii="Arial" w:hAnsi="Arial"/>
          <w:b w:val="false"/>
          <w:bCs w:val="false"/>
          <w:i w:val="false"/>
          <w:iCs w:val="false"/>
          <w:caps w:val="false"/>
          <w:smallCaps w:val="false"/>
          <w:strike w:val="false"/>
          <w:dstrike w:val="false"/>
          <w:color w:val="000000"/>
          <w:position w:val="0"/>
          <w:sz w:val="20"/>
          <w:sz w:val="20"/>
          <w:szCs w:val="20"/>
          <w:highlight w:val="yellow"/>
          <w:u w:val="none"/>
          <w:vertAlign w:val="baseline"/>
        </w:rPr>
        <w:t>Company</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(or any other person) to be in breach of any applicable data protection laws; and</w:t>
      </w:r>
    </w:p>
    <w:p>
      <w:pPr>
        <w:pStyle w:val="normal1"/>
        <w:keepNext w:val="false"/>
        <w:keepLines w:val="false"/>
        <w:pageBreakBefore w:val="false"/>
        <w:widowControl/>
        <w:numPr>
          <w:ilvl w:val="0"/>
          <w:numId w:val="2"/>
        </w:numPr>
        <w:pBdr/>
        <w:shd w:val="clear" w:fill="auto"/>
        <w:tabs>
          <w:tab w:val="clear" w:pos="720"/>
          <w:tab w:val="left" w:pos="1800" w:leader="none"/>
        </w:tabs>
        <w:spacing w:lineRule="auto" w:line="276" w:before="0" w:after="0"/>
        <w:ind w:hanging="360" w:left="720" w:right="0"/>
        <w:jc w:val="left"/>
        <w:rPr>
          <w:rFonts w:ascii="Arial" w:hAnsi="Arial" w:eastAsia="Arial" w:cs="Arial"/>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treat Personal Data as Confidential Information; and</w:t>
      </w:r>
    </w:p>
    <w:p>
      <w:pPr>
        <w:pStyle w:val="normal1"/>
        <w:keepNext w:val="false"/>
        <w:keepLines w:val="false"/>
        <w:pageBreakBefore w:val="false"/>
        <w:widowControl/>
        <w:numPr>
          <w:ilvl w:val="0"/>
          <w:numId w:val="2"/>
        </w:numPr>
        <w:pBdr/>
        <w:shd w:val="clear" w:fill="auto"/>
        <w:spacing w:lineRule="auto" w:line="276" w:before="0" w:after="0"/>
        <w:ind w:hanging="360" w:left="720" w:right="0"/>
        <w:jc w:val="left"/>
        <w:rPr>
          <w:rFonts w:ascii="Arial" w:hAnsi="Arial" w:eastAsia="Arial" w:cs="Arial"/>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Process and shall ensure each person acting under its authority shall Process </w:t>
      </w:r>
      <w:r>
        <w:rPr>
          <w:rFonts w:eastAsia="Arial" w:cs="Arial" w:ascii="Arial" w:hAnsi="Arial"/>
          <w:b w:val="false"/>
          <w:bCs w:val="false"/>
          <w:i w:val="false"/>
          <w:iCs w:val="false"/>
          <w:caps w:val="false"/>
          <w:smallCaps w:val="false"/>
          <w:strike w:val="false"/>
          <w:dstrike w:val="false"/>
          <w:color w:val="000000"/>
          <w:position w:val="0"/>
          <w:sz w:val="20"/>
          <w:sz w:val="20"/>
          <w:szCs w:val="20"/>
          <w:highlight w:val="yellow"/>
          <w:u w:val="none"/>
          <w:vertAlign w:val="baseline"/>
        </w:rPr>
        <w:t>Company</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Personal Data only on the relevant </w:t>
      </w:r>
      <w:r>
        <w:rPr>
          <w:rFonts w:eastAsia="Arial" w:cs="Arial" w:ascii="Arial" w:hAnsi="Arial"/>
          <w:b w:val="false"/>
          <w:bCs w:val="false"/>
          <w:i w:val="false"/>
          <w:iCs w:val="false"/>
          <w:caps w:val="false"/>
          <w:smallCaps w:val="false"/>
          <w:strike w:val="false"/>
          <w:dstrike w:val="false"/>
          <w:color w:val="000000"/>
          <w:position w:val="0"/>
          <w:sz w:val="20"/>
          <w:sz w:val="20"/>
          <w:szCs w:val="20"/>
          <w:highlight w:val="yellow"/>
          <w:u w:val="none"/>
          <w:vertAlign w:val="baseline"/>
        </w:rPr>
        <w:t>Company</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’s documented instructions unless Processing is required by applicable laws to which the relevant Processor is subject, in which case Vendor shall to the extent permitted by applicable laws inform </w:t>
      </w:r>
      <w:r>
        <w:rPr>
          <w:rFonts w:eastAsia="Arial" w:cs="Arial" w:ascii="Arial" w:hAnsi="Arial"/>
          <w:b w:val="false"/>
          <w:bCs w:val="false"/>
          <w:i w:val="false"/>
          <w:iCs w:val="false"/>
          <w:caps w:val="false"/>
          <w:smallCaps w:val="false"/>
          <w:strike w:val="false"/>
          <w:dstrike w:val="false"/>
          <w:color w:val="000000"/>
          <w:position w:val="0"/>
          <w:sz w:val="20"/>
          <w:sz w:val="20"/>
          <w:szCs w:val="20"/>
          <w:highlight w:val="yellow"/>
          <w:u w:val="none"/>
          <w:vertAlign w:val="baseline"/>
        </w:rPr>
        <w:t>Company</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of that legal requirement before the relevant Processing of that Personal Data, and</w:t>
      </w:r>
    </w:p>
    <w:p>
      <w:pPr>
        <w:pStyle w:val="normal1"/>
        <w:keepNext w:val="false"/>
        <w:keepLines w:val="false"/>
        <w:pageBreakBefore w:val="false"/>
        <w:widowControl/>
        <w:numPr>
          <w:ilvl w:val="0"/>
          <w:numId w:val="2"/>
        </w:numPr>
        <w:pBdr/>
        <w:shd w:val="clear" w:fill="auto"/>
        <w:spacing w:lineRule="auto" w:line="276" w:before="0" w:after="0"/>
        <w:ind w:hanging="360" w:left="720" w:right="0"/>
        <w:jc w:val="left"/>
        <w:rPr>
          <w:rFonts w:ascii="Arial" w:hAnsi="Arial" w:eastAsia="Arial" w:cs="Arial"/>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immediately inform </w:t>
      </w:r>
      <w:r>
        <w:rPr>
          <w:rFonts w:eastAsia="Arial" w:cs="Arial" w:ascii="Arial" w:hAnsi="Arial"/>
          <w:b w:val="false"/>
          <w:bCs w:val="false"/>
          <w:i w:val="false"/>
          <w:iCs w:val="false"/>
          <w:caps w:val="false"/>
          <w:smallCaps w:val="false"/>
          <w:strike w:val="false"/>
          <w:dstrike w:val="false"/>
          <w:color w:val="000000"/>
          <w:position w:val="0"/>
          <w:sz w:val="20"/>
          <w:sz w:val="20"/>
          <w:szCs w:val="20"/>
          <w:highlight w:val="yellow"/>
          <w:u w:val="none"/>
          <w:vertAlign w:val="baseline"/>
        </w:rPr>
        <w:t>Company</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in writing if, in the Vendor’s opinion, a Processing instruction infringes the applicable data protection laws or any other applicable laws relating to data protection and explain the reasons for its opinion, provided that this shall be without prejudice to clause 2.3.a). </w:t>
      </w:r>
    </w:p>
    <w:p>
      <w:pPr>
        <w:pStyle w:val="normal1"/>
        <w:keepNext w:val="false"/>
        <w:keepLines w:val="false"/>
        <w:pageBreakBefore w:val="false"/>
        <w:widowControl/>
        <w:numPr>
          <w:ilvl w:val="1"/>
          <w:numId w:val="1"/>
        </w:numPr>
        <w:pBdr/>
        <w:shd w:val="clear" w:fill="auto"/>
        <w:tabs>
          <w:tab w:val="clear" w:pos="720"/>
          <w:tab w:val="left" w:pos="1800" w:leader="none"/>
        </w:tabs>
        <w:spacing w:lineRule="auto" w:line="276" w:before="0" w:after="0"/>
        <w:ind w:hanging="363" w:left="720" w:right="0"/>
        <w:jc w:val="left"/>
        <w:rPr>
          <w:rFonts w:ascii="Arial" w:hAnsi="Arial" w:eastAsia="Arial" w:cs="Arial"/>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bookmarkStart w:id="2" w:name="_heading=h.i4s4o0uzvlip"/>
      <w:bookmarkEnd w:id="2"/>
      <w:r>
        <w:rPr>
          <w:rFonts w:eastAsia="Arial" w:cs="Arial" w:ascii="Arial" w:hAnsi="Arial"/>
          <w:b/>
          <w:bCs/>
          <w:i w:val="false"/>
          <w:iCs w:val="false"/>
          <w:caps w:val="false"/>
          <w:smallCaps w:val="false"/>
          <w:strike w:val="false"/>
          <w:dstrike w:val="false"/>
          <w:color w:val="000000"/>
          <w:position w:val="0"/>
          <w:sz w:val="20"/>
          <w:sz w:val="20"/>
          <w:szCs w:val="20"/>
          <w:u w:val="none"/>
          <w:shd w:fill="auto" w:val="clear"/>
          <w:vertAlign w:val="baseline"/>
        </w:rPr>
        <w:t xml:space="preserve">Purposes of Processing. </w:t>
      </w:r>
      <w:r>
        <w:rPr>
          <w:rFonts w:eastAsia="Arial" w:cs="Arial" w:ascii="Arial" w:hAnsi="Arial"/>
          <w:b w:val="false"/>
          <w:bCs w:val="false"/>
          <w:i w:val="false"/>
          <w:iCs w:val="false"/>
          <w:caps w:val="false"/>
          <w:smallCaps w:val="false"/>
          <w:strike w:val="false"/>
          <w:dstrike w:val="false"/>
          <w:color w:val="000000"/>
          <w:position w:val="0"/>
          <w:sz w:val="20"/>
          <w:sz w:val="20"/>
          <w:szCs w:val="20"/>
          <w:highlight w:val="yellow"/>
          <w:u w:val="none"/>
          <w:vertAlign w:val="baseline"/>
        </w:rPr>
        <w:t>Company</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instructs Vendor (and authorises Vendor to instruct each Subprocessor) to Process </w:t>
      </w:r>
      <w:r>
        <w:rPr>
          <w:rFonts w:eastAsia="Arial" w:cs="Arial" w:ascii="Arial" w:hAnsi="Arial"/>
          <w:b w:val="false"/>
          <w:bCs w:val="false"/>
          <w:i w:val="false"/>
          <w:iCs w:val="false"/>
          <w:caps w:val="false"/>
          <w:smallCaps w:val="false"/>
          <w:strike w:val="false"/>
          <w:dstrike w:val="false"/>
          <w:color w:val="000000"/>
          <w:position w:val="0"/>
          <w:sz w:val="20"/>
          <w:sz w:val="20"/>
          <w:szCs w:val="20"/>
          <w:highlight w:val="yellow"/>
          <w:u w:val="none"/>
          <w:vertAlign w:val="baseline"/>
        </w:rPr>
        <w:t>Company</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Personal Data for the provision of the Services and consistent with the Principal Agreement; </w:t>
      </w:r>
    </w:p>
    <w:p>
      <w:pPr>
        <w:pStyle w:val="normal1"/>
        <w:keepNext w:val="false"/>
        <w:keepLines w:val="false"/>
        <w:pageBreakBefore w:val="false"/>
        <w:widowControl/>
        <w:numPr>
          <w:ilvl w:val="1"/>
          <w:numId w:val="1"/>
        </w:numPr>
        <w:pBdr/>
        <w:shd w:val="clear" w:fill="auto"/>
        <w:tabs>
          <w:tab w:val="left" w:pos="720" w:leader="none"/>
        </w:tabs>
        <w:spacing w:lineRule="auto" w:line="276" w:before="0" w:after="0"/>
        <w:ind w:hanging="363" w:left="720" w:right="0"/>
        <w:jc w:val="left"/>
        <w:rPr>
          <w:rFonts w:ascii="Arial" w:hAnsi="Arial" w:eastAsia="Arial" w:cs="Arial"/>
          <w:b/>
          <w:bCs/>
          <w:i w:val="false"/>
          <w:i w:val="false"/>
          <w:iCs w:val="false"/>
          <w:caps w:val="false"/>
          <w:smallCaps w:val="false"/>
          <w:strike w:val="false"/>
          <w:dstrike w:val="false"/>
          <w:color w:val="000000"/>
          <w:position w:val="0"/>
          <w:sz w:val="20"/>
          <w:sz w:val="20"/>
          <w:szCs w:val="20"/>
          <w:u w:val="none"/>
          <w:shd w:fill="auto" w:val="clear"/>
          <w:vertAlign w:val="baseline"/>
        </w:rPr>
      </w:pPr>
      <w:bookmarkStart w:id="3" w:name="_heading=h.m09qavg40zmd"/>
      <w:bookmarkEnd w:id="3"/>
      <w:r>
        <w:rPr>
          <w:rFonts w:eastAsia="Arial" w:cs="Arial" w:ascii="Arial" w:hAnsi="Arial"/>
          <w:b/>
          <w:bCs/>
          <w:i w:val="false"/>
          <w:iCs w:val="false"/>
          <w:caps w:val="false"/>
          <w:smallCaps w:val="false"/>
          <w:strike w:val="false"/>
          <w:dstrike w:val="false"/>
          <w:color w:val="000000"/>
          <w:position w:val="0"/>
          <w:sz w:val="20"/>
          <w:sz w:val="20"/>
          <w:szCs w:val="20"/>
          <w:u w:val="none"/>
          <w:shd w:fill="auto" w:val="clear"/>
          <w:vertAlign w:val="baseline"/>
        </w:rPr>
        <w:t>Details of the Processing.</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Annex 1 to this DPA sets out certain information regarding the Processors' Processing of the </w:t>
      </w:r>
      <w:r>
        <w:rPr>
          <w:rFonts w:eastAsia="Arial" w:cs="Arial" w:ascii="Arial" w:hAnsi="Arial"/>
          <w:b w:val="false"/>
          <w:bCs w:val="false"/>
          <w:i w:val="false"/>
          <w:iCs w:val="false"/>
          <w:caps w:val="false"/>
          <w:smallCaps w:val="false"/>
          <w:strike w:val="false"/>
          <w:dstrike w:val="false"/>
          <w:color w:val="000000"/>
          <w:position w:val="0"/>
          <w:sz w:val="20"/>
          <w:sz w:val="20"/>
          <w:szCs w:val="20"/>
          <w:highlight w:val="yellow"/>
          <w:u w:val="none"/>
          <w:vertAlign w:val="baseline"/>
        </w:rPr>
        <w:t>Company</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Personal Data as required by article 28(3) of the GDPR (and, possibly, equivalent requirements of other applicable data protection laws). </w:t>
      </w:r>
    </w:p>
    <w:p>
      <w:pPr>
        <w:pStyle w:val="normal1"/>
        <w:keepNext w:val="false"/>
        <w:keepLines w:val="false"/>
        <w:pageBreakBefore w:val="false"/>
        <w:widowControl/>
        <w:pBdr/>
        <w:shd w:val="clear" w:fill="auto"/>
        <w:spacing w:lineRule="auto" w:line="276" w:before="0" w:after="0"/>
        <w:ind w:hanging="0" w:left="720" w:right="0"/>
        <w:jc w:val="left"/>
        <w:rPr>
          <w:rFonts w:ascii="Arial" w:hAnsi="Arial" w:eastAsia="Arial" w:cs="Arial"/>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bCs/>
          <w:i w:val="false"/>
          <w:iCs w:val="false"/>
          <w:caps w:val="false"/>
          <w:smallCaps w:val="false"/>
          <w:strike w:val="false"/>
          <w:dstrike w:val="false"/>
          <w:color w:val="000000"/>
          <w:position w:val="0"/>
          <w:sz w:val="20"/>
          <w:sz w:val="20"/>
          <w:szCs w:val="20"/>
          <w:u w:val="none"/>
          <w:shd w:fill="auto" w:val="clear"/>
          <w:vertAlign w:val="baseline"/>
        </w:rPr>
      </w:r>
    </w:p>
    <w:p>
      <w:pPr>
        <w:pStyle w:val="normal1"/>
        <w:keepNext w:val="false"/>
        <w:keepLines w:val="false"/>
        <w:pageBreakBefore w:val="false"/>
        <w:widowControl/>
        <w:numPr>
          <w:ilvl w:val="0"/>
          <w:numId w:val="1"/>
        </w:numPr>
        <w:pBdr/>
        <w:shd w:val="clear" w:fill="auto"/>
        <w:spacing w:lineRule="auto" w:line="276" w:before="0" w:after="0"/>
        <w:ind w:hanging="363" w:left="720" w:right="0"/>
        <w:jc w:val="left"/>
        <w:rPr>
          <w:rFonts w:ascii="Arial" w:hAnsi="Arial" w:eastAsia="Arial" w:cs="Arial"/>
          <w:b/>
          <w:bCs/>
          <w:i w:val="false"/>
          <w:i w:val="false"/>
          <w:iCs w:val="false"/>
          <w:caps w:val="false"/>
          <w:smallCaps w:val="false"/>
          <w:strike w:val="false"/>
          <w:dstrike w:val="false"/>
          <w:color w:val="000000"/>
          <w:position w:val="0"/>
          <w:sz w:val="20"/>
          <w:sz w:val="20"/>
          <w:szCs w:val="20"/>
          <w:u w:val="none"/>
          <w:shd w:fill="auto" w:val="clear"/>
          <w:vertAlign w:val="baseline"/>
        </w:rPr>
      </w:pPr>
      <w:bookmarkStart w:id="4" w:name="_heading=h.tcw34jdrmxcs"/>
      <w:bookmarkEnd w:id="4"/>
      <w:r>
        <w:rPr>
          <w:rFonts w:eastAsia="Arial" w:cs="Arial" w:ascii="Arial" w:hAnsi="Arial"/>
          <w:b/>
          <w:bCs/>
          <w:i w:val="false"/>
          <w:iCs w:val="false"/>
          <w:caps w:val="false"/>
          <w:smallCaps w:val="false"/>
          <w:strike w:val="false"/>
          <w:dstrike w:val="false"/>
          <w:color w:val="000000"/>
          <w:position w:val="0"/>
          <w:sz w:val="20"/>
          <w:sz w:val="20"/>
          <w:szCs w:val="20"/>
          <w:u w:val="none"/>
          <w:shd w:fill="auto" w:val="clear"/>
          <w:vertAlign w:val="baseline"/>
        </w:rPr>
        <w:t>DATA SUBJECT RIGHTS</w:t>
      </w:r>
    </w:p>
    <w:p>
      <w:pPr>
        <w:pStyle w:val="normal1"/>
        <w:keepNext w:val="false"/>
        <w:keepLines w:val="false"/>
        <w:pageBreakBefore w:val="false"/>
        <w:widowControl/>
        <w:numPr>
          <w:ilvl w:val="1"/>
          <w:numId w:val="1"/>
        </w:numPr>
        <w:pBdr/>
        <w:shd w:val="clear" w:fill="auto"/>
        <w:tabs>
          <w:tab w:val="left" w:pos="720" w:leader="none"/>
        </w:tabs>
        <w:spacing w:lineRule="auto" w:line="276" w:before="0" w:after="0"/>
        <w:ind w:hanging="363" w:left="720" w:right="0"/>
        <w:jc w:val="left"/>
        <w:rPr>
          <w:rFonts w:ascii="Arial" w:hAnsi="Arial" w:eastAsia="Arial" w:cs="Arial"/>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bookmarkStart w:id="5" w:name="_heading=h.yfskcip6zkke"/>
      <w:bookmarkEnd w:id="5"/>
      <w:r>
        <w:rPr>
          <w:rFonts w:eastAsia="Arial" w:cs="Arial" w:ascii="Arial" w:hAnsi="Arial"/>
          <w:b/>
          <w:bCs/>
          <w:i w:val="false"/>
          <w:iCs w:val="false"/>
          <w:caps w:val="false"/>
          <w:smallCaps w:val="false"/>
          <w:strike w:val="false"/>
          <w:dstrike w:val="false"/>
          <w:color w:val="000000"/>
          <w:position w:val="0"/>
          <w:sz w:val="20"/>
          <w:sz w:val="20"/>
          <w:szCs w:val="20"/>
          <w:u w:val="none"/>
          <w:shd w:fill="auto" w:val="clear"/>
          <w:vertAlign w:val="baseline"/>
        </w:rPr>
        <w:t>Data Subject Request</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Vendor shall, to the extent legally permitted, promptly (and in any event no later than 2 working days within the receipt of the request) notify </w:t>
      </w:r>
      <w:r>
        <w:rPr>
          <w:rFonts w:eastAsia="Arial" w:cs="Arial" w:ascii="Arial" w:hAnsi="Arial"/>
          <w:b w:val="false"/>
          <w:bCs w:val="false"/>
          <w:i w:val="false"/>
          <w:iCs w:val="false"/>
          <w:caps w:val="false"/>
          <w:smallCaps w:val="false"/>
          <w:strike w:val="false"/>
          <w:dstrike w:val="false"/>
          <w:color w:val="000000"/>
          <w:position w:val="0"/>
          <w:sz w:val="20"/>
          <w:sz w:val="20"/>
          <w:szCs w:val="20"/>
          <w:highlight w:val="yellow"/>
          <w:u w:val="none"/>
          <w:vertAlign w:val="baseline"/>
        </w:rPr>
        <w:t>Company</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if Vendor or Vendor’s Subprocessor receives a request from a Data Subject to exercise the Data Subject’s right of access, right to rectification, restriction of Processing, erasure (“right to be forgotten”), data portability, object to the Processing, or its right not to be subject to an automated individual decision making (“</w:t>
      </w:r>
      <w:r>
        <w:rPr>
          <w:rFonts w:eastAsia="Arial" w:cs="Arial" w:ascii="Arial" w:hAnsi="Arial"/>
          <w:b/>
          <w:bCs/>
          <w:i w:val="false"/>
          <w:iCs w:val="false"/>
          <w:caps w:val="false"/>
          <w:smallCaps w:val="false"/>
          <w:strike w:val="false"/>
          <w:dstrike w:val="false"/>
          <w:color w:val="000000"/>
          <w:position w:val="0"/>
          <w:sz w:val="20"/>
          <w:sz w:val="20"/>
          <w:szCs w:val="20"/>
          <w:u w:val="none"/>
          <w:shd w:fill="auto" w:val="clear"/>
          <w:vertAlign w:val="baseline"/>
        </w:rPr>
        <w:t>Data Subject Request</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w:t>
      </w:r>
    </w:p>
    <w:p>
      <w:pPr>
        <w:pStyle w:val="normal1"/>
        <w:keepNext w:val="false"/>
        <w:keepLines w:val="false"/>
        <w:pageBreakBefore w:val="false"/>
        <w:widowControl/>
        <w:numPr>
          <w:ilvl w:val="1"/>
          <w:numId w:val="1"/>
        </w:numPr>
        <w:pBdr/>
        <w:shd w:val="clear" w:fill="auto"/>
        <w:tabs>
          <w:tab w:val="left" w:pos="720" w:leader="none"/>
        </w:tabs>
        <w:spacing w:lineRule="auto" w:line="276" w:before="0" w:after="0"/>
        <w:ind w:hanging="363" w:left="720" w:right="0"/>
        <w:jc w:val="left"/>
        <w:rPr>
          <w:rFonts w:ascii="Arial" w:hAnsi="Arial" w:eastAsia="Arial" w:cs="Arial"/>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bCs/>
          <w:i w:val="false"/>
          <w:iCs w:val="false"/>
          <w:caps w:val="false"/>
          <w:smallCaps w:val="false"/>
          <w:strike w:val="false"/>
          <w:dstrike w:val="false"/>
          <w:color w:val="000000"/>
          <w:position w:val="0"/>
          <w:sz w:val="20"/>
          <w:sz w:val="20"/>
          <w:szCs w:val="20"/>
          <w:u w:val="none"/>
          <w:shd w:fill="auto" w:val="clear"/>
          <w:vertAlign w:val="baseline"/>
        </w:rPr>
        <w:t>Vendor Assistance</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Taking into account the nature of the Processing, Vendor shall assist </w:t>
      </w:r>
      <w:r>
        <w:rPr>
          <w:rFonts w:eastAsia="Arial" w:cs="Arial" w:ascii="Arial" w:hAnsi="Arial"/>
          <w:b w:val="false"/>
          <w:bCs w:val="false"/>
          <w:i w:val="false"/>
          <w:iCs w:val="false"/>
          <w:caps w:val="false"/>
          <w:smallCaps w:val="false"/>
          <w:strike w:val="false"/>
          <w:dstrike w:val="false"/>
          <w:color w:val="000000"/>
          <w:position w:val="0"/>
          <w:sz w:val="20"/>
          <w:sz w:val="20"/>
          <w:szCs w:val="20"/>
          <w:highlight w:val="yellow"/>
          <w:u w:val="none"/>
          <w:vertAlign w:val="baseline"/>
        </w:rPr>
        <w:t>Company</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by implementing appropriate technical and organisational measures, insofar as this is possible, for the fulfilment of the </w:t>
      </w:r>
      <w:r>
        <w:rPr>
          <w:rFonts w:eastAsia="Arial" w:cs="Arial" w:ascii="Arial" w:hAnsi="Arial"/>
          <w:b w:val="false"/>
          <w:bCs w:val="false"/>
          <w:i w:val="false"/>
          <w:iCs w:val="false"/>
          <w:caps w:val="false"/>
          <w:smallCaps w:val="false"/>
          <w:strike w:val="false"/>
          <w:dstrike w:val="false"/>
          <w:color w:val="000000"/>
          <w:position w:val="0"/>
          <w:sz w:val="20"/>
          <w:sz w:val="20"/>
          <w:szCs w:val="20"/>
          <w:highlight w:val="yellow"/>
          <w:u w:val="none"/>
          <w:vertAlign w:val="baseline"/>
        </w:rPr>
        <w:t>Company’</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s obligations, as reasonably understood by </w:t>
      </w:r>
      <w:r>
        <w:rPr>
          <w:rFonts w:eastAsia="Arial" w:cs="Arial" w:ascii="Arial" w:hAnsi="Arial"/>
          <w:b w:val="false"/>
          <w:bCs w:val="false"/>
          <w:i w:val="false"/>
          <w:iCs w:val="false"/>
          <w:caps w:val="false"/>
          <w:smallCaps w:val="false"/>
          <w:strike w:val="false"/>
          <w:dstrike w:val="false"/>
          <w:color w:val="000000"/>
          <w:position w:val="0"/>
          <w:sz w:val="20"/>
          <w:sz w:val="20"/>
          <w:szCs w:val="20"/>
          <w:highlight w:val="yellow"/>
          <w:u w:val="none"/>
          <w:vertAlign w:val="baseline"/>
        </w:rPr>
        <w:t>Company</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to respond to requests to exercise Data Subject rights under the applicable data protection laws. In addition, to the extent </w:t>
      </w:r>
      <w:r>
        <w:rPr>
          <w:rFonts w:eastAsia="Arial" w:cs="Arial" w:ascii="Arial" w:hAnsi="Arial"/>
          <w:b w:val="false"/>
          <w:bCs w:val="false"/>
          <w:i w:val="false"/>
          <w:iCs w:val="false"/>
          <w:caps w:val="false"/>
          <w:smallCaps w:val="false"/>
          <w:strike w:val="false"/>
          <w:dstrike w:val="false"/>
          <w:color w:val="000000"/>
          <w:position w:val="0"/>
          <w:sz w:val="20"/>
          <w:sz w:val="20"/>
          <w:szCs w:val="20"/>
          <w:highlight w:val="yellow"/>
          <w:u w:val="none"/>
          <w:vertAlign w:val="baseline"/>
        </w:rPr>
        <w:t>Company</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in its use of the Services, does not have the ability to address a Data Subject Request, Vendor shall, at its cost and expense, and upon </w:t>
      </w:r>
      <w:r>
        <w:rPr>
          <w:rFonts w:eastAsia="Arial" w:cs="Arial" w:ascii="Arial" w:hAnsi="Arial"/>
          <w:b w:val="false"/>
          <w:bCs w:val="false"/>
          <w:i w:val="false"/>
          <w:iCs w:val="false"/>
          <w:caps w:val="false"/>
          <w:smallCaps w:val="false"/>
          <w:strike w:val="false"/>
          <w:dstrike w:val="false"/>
          <w:color w:val="000000"/>
          <w:position w:val="0"/>
          <w:sz w:val="20"/>
          <w:sz w:val="20"/>
          <w:szCs w:val="20"/>
          <w:highlight w:val="yellow"/>
          <w:u w:val="none"/>
          <w:vertAlign w:val="baseline"/>
        </w:rPr>
        <w:t>Company’s</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request provide commercially reasonable efforts to assist </w:t>
      </w:r>
      <w:r>
        <w:rPr>
          <w:rFonts w:eastAsia="Arial" w:cs="Arial" w:ascii="Arial" w:hAnsi="Arial"/>
          <w:b w:val="false"/>
          <w:bCs w:val="false"/>
          <w:i w:val="false"/>
          <w:iCs w:val="false"/>
          <w:caps w:val="false"/>
          <w:smallCaps w:val="false"/>
          <w:strike w:val="false"/>
          <w:dstrike w:val="false"/>
          <w:color w:val="000000"/>
          <w:position w:val="0"/>
          <w:sz w:val="20"/>
          <w:sz w:val="20"/>
          <w:szCs w:val="20"/>
          <w:highlight w:val="yellow"/>
          <w:u w:val="none"/>
          <w:vertAlign w:val="baseline"/>
        </w:rPr>
        <w:t>Company</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in responding to such Data Subject Request, to the extent Vendor is legally permitted to do so and the response to such Data Subject Request is required under applicable data protection laws. In any event, Vendor shall not respond to any Data Subject Request without </w:t>
      </w:r>
      <w:r>
        <w:rPr>
          <w:rFonts w:eastAsia="Arial" w:cs="Arial" w:ascii="Arial" w:hAnsi="Arial"/>
          <w:b w:val="false"/>
          <w:bCs w:val="false"/>
          <w:i w:val="false"/>
          <w:iCs w:val="false"/>
          <w:caps w:val="false"/>
          <w:smallCaps w:val="false"/>
          <w:strike w:val="false"/>
          <w:dstrike w:val="false"/>
          <w:color w:val="000000"/>
          <w:position w:val="0"/>
          <w:sz w:val="20"/>
          <w:sz w:val="20"/>
          <w:szCs w:val="20"/>
          <w:highlight w:val="yellow"/>
          <w:u w:val="none"/>
          <w:vertAlign w:val="baseline"/>
        </w:rPr>
        <w:t>Company’s</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prior written approval.</w:t>
      </w:r>
    </w:p>
    <w:p>
      <w:pPr>
        <w:pStyle w:val="normal1"/>
        <w:keepNext w:val="false"/>
        <w:keepLines w:val="false"/>
        <w:pageBreakBefore w:val="false"/>
        <w:widowControl/>
        <w:pBdr/>
        <w:shd w:val="clear" w:fill="auto"/>
        <w:tabs>
          <w:tab w:val="clear" w:pos="720"/>
          <w:tab w:val="left" w:pos="1800" w:leader="none"/>
        </w:tabs>
        <w:spacing w:lineRule="auto" w:line="276" w:before="0" w:after="0"/>
        <w:ind w:hanging="0" w:left="720" w:right="0"/>
        <w:jc w:val="left"/>
        <w:rPr>
          <w:rFonts w:ascii="Arial" w:hAnsi="Arial" w:eastAsia="Arial" w:cs="Arial"/>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normal1"/>
        <w:keepNext w:val="false"/>
        <w:keepLines w:val="false"/>
        <w:pageBreakBefore w:val="false"/>
        <w:widowControl/>
        <w:pBdr/>
        <w:shd w:val="clear" w:fill="auto"/>
        <w:spacing w:lineRule="auto" w:line="276" w:before="0" w:after="0"/>
        <w:ind w:hanging="0" w:left="720" w:right="0"/>
        <w:jc w:val="left"/>
        <w:rPr>
          <w:rFonts w:ascii="Arial" w:hAnsi="Arial" w:eastAsia="Arial" w:cs="Arial"/>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bCs/>
          <w:i w:val="false"/>
          <w:iCs w:val="false"/>
          <w:caps w:val="false"/>
          <w:smallCaps w:val="false"/>
          <w:strike w:val="false"/>
          <w:dstrike w:val="false"/>
          <w:color w:val="000000"/>
          <w:position w:val="0"/>
          <w:sz w:val="20"/>
          <w:sz w:val="20"/>
          <w:szCs w:val="20"/>
          <w:u w:val="none"/>
          <w:shd w:fill="auto" w:val="clear"/>
          <w:vertAlign w:val="baseline"/>
        </w:rPr>
      </w:r>
    </w:p>
    <w:p>
      <w:pPr>
        <w:pStyle w:val="normal1"/>
        <w:keepNext w:val="false"/>
        <w:keepLines w:val="false"/>
        <w:pageBreakBefore w:val="false"/>
        <w:widowControl/>
        <w:numPr>
          <w:ilvl w:val="0"/>
          <w:numId w:val="1"/>
        </w:numPr>
        <w:pBdr/>
        <w:shd w:val="clear" w:fill="auto"/>
        <w:spacing w:lineRule="auto" w:line="276" w:before="0" w:after="0"/>
        <w:ind w:hanging="363" w:left="720" w:right="0"/>
        <w:jc w:val="left"/>
        <w:rPr>
          <w:rFonts w:ascii="Arial" w:hAnsi="Arial" w:eastAsia="Arial" w:cs="Arial"/>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bCs/>
          <w:i w:val="false"/>
          <w:iCs w:val="false"/>
          <w:caps w:val="false"/>
          <w:smallCaps w:val="false"/>
          <w:strike w:val="false"/>
          <w:dstrike w:val="false"/>
          <w:color w:val="000000"/>
          <w:position w:val="0"/>
          <w:sz w:val="20"/>
          <w:sz w:val="20"/>
          <w:szCs w:val="20"/>
          <w:u w:val="none"/>
          <w:shd w:fill="auto" w:val="clear"/>
          <w:vertAlign w:val="baseline"/>
        </w:rPr>
        <w:t>VENDOR PERSONNEL</w:t>
      </w:r>
    </w:p>
    <w:p>
      <w:pPr>
        <w:pStyle w:val="normal1"/>
        <w:keepNext w:val="false"/>
        <w:keepLines w:val="false"/>
        <w:pageBreakBefore w:val="false"/>
        <w:widowControl/>
        <w:numPr>
          <w:ilvl w:val="1"/>
          <w:numId w:val="1"/>
        </w:numPr>
        <w:pBdr/>
        <w:shd w:val="clear" w:fill="auto"/>
        <w:spacing w:lineRule="auto" w:line="276" w:before="0" w:after="0"/>
        <w:ind w:hanging="363" w:left="720" w:right="0"/>
        <w:jc w:val="left"/>
        <w:rPr>
          <w:rFonts w:ascii="Arial" w:hAnsi="Arial" w:eastAsia="Arial" w:cs="Arial"/>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bookmarkStart w:id="6" w:name="_heading=h.yqklzao49vfl"/>
      <w:bookmarkEnd w:id="6"/>
      <w:r>
        <w:rPr>
          <w:rFonts w:eastAsia="Arial" w:cs="Arial" w:ascii="Arial" w:hAnsi="Arial"/>
          <w:b/>
          <w:bCs/>
          <w:i w:val="false"/>
          <w:iCs w:val="false"/>
          <w:caps w:val="false"/>
          <w:smallCaps w:val="false"/>
          <w:strike w:val="false"/>
          <w:dstrike w:val="false"/>
          <w:color w:val="000000"/>
          <w:position w:val="0"/>
          <w:sz w:val="20"/>
          <w:sz w:val="20"/>
          <w:szCs w:val="20"/>
          <w:u w:val="none"/>
          <w:shd w:fill="auto" w:val="clear"/>
          <w:vertAlign w:val="baseline"/>
        </w:rPr>
        <w:t>Confidentiality</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Vendor shall ensure that its personnel engaged in the Processing of Personal Data are informed of the confidential nature of the Personal Data, have received appropriate training on their responsibilities and have executed written confidentiality agreements. Vendor shall ensure that confidentiality obligations regarding Personal Data survive the termination of the personnel engagement. </w:t>
      </w:r>
    </w:p>
    <w:p>
      <w:pPr>
        <w:pStyle w:val="normal1"/>
        <w:keepNext w:val="false"/>
        <w:keepLines w:val="false"/>
        <w:pageBreakBefore w:val="false"/>
        <w:widowControl/>
        <w:numPr>
          <w:ilvl w:val="1"/>
          <w:numId w:val="1"/>
        </w:numPr>
        <w:pBdr/>
        <w:shd w:val="clear" w:fill="auto"/>
        <w:spacing w:lineRule="auto" w:line="276" w:before="0" w:after="0"/>
        <w:ind w:hanging="363" w:left="720" w:right="0"/>
        <w:jc w:val="left"/>
        <w:rPr>
          <w:rFonts w:ascii="Arial" w:hAnsi="Arial" w:eastAsia="Arial" w:cs="Arial"/>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bCs/>
          <w:i w:val="false"/>
          <w:iCs w:val="false"/>
          <w:caps w:val="false"/>
          <w:smallCaps w:val="false"/>
          <w:strike w:val="false"/>
          <w:dstrike w:val="false"/>
          <w:color w:val="000000"/>
          <w:position w:val="0"/>
          <w:sz w:val="20"/>
          <w:sz w:val="20"/>
          <w:szCs w:val="20"/>
          <w:u w:val="none"/>
          <w:shd w:fill="auto" w:val="clear"/>
          <w:vertAlign w:val="baseline"/>
        </w:rPr>
        <w:t>Reliability</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Vendor shall take commercially reasonable steps to ensure the reliability of any Vendor personnel and Vendor Subprocessor personnel who may have access to the </w:t>
      </w:r>
      <w:r>
        <w:rPr>
          <w:rFonts w:eastAsia="Arial" w:cs="Arial" w:ascii="Arial" w:hAnsi="Arial"/>
          <w:b w:val="false"/>
          <w:bCs w:val="false"/>
          <w:i w:val="false"/>
          <w:iCs w:val="false"/>
          <w:caps w:val="false"/>
          <w:smallCaps w:val="false"/>
          <w:strike w:val="false"/>
          <w:dstrike w:val="false"/>
          <w:color w:val="000000"/>
          <w:position w:val="0"/>
          <w:sz w:val="20"/>
          <w:sz w:val="20"/>
          <w:szCs w:val="20"/>
          <w:highlight w:val="yellow"/>
          <w:u w:val="none"/>
          <w:vertAlign w:val="baseline"/>
        </w:rPr>
        <w:t>Company</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Personal Data.</w:t>
      </w:r>
    </w:p>
    <w:p>
      <w:pPr>
        <w:pStyle w:val="normal1"/>
        <w:keepNext w:val="false"/>
        <w:keepLines w:val="false"/>
        <w:pageBreakBefore w:val="false"/>
        <w:widowControl/>
        <w:numPr>
          <w:ilvl w:val="1"/>
          <w:numId w:val="1"/>
        </w:numPr>
        <w:pBdr/>
        <w:shd w:val="clear" w:fill="auto"/>
        <w:spacing w:lineRule="auto" w:line="276" w:before="0" w:after="0"/>
        <w:ind w:hanging="363" w:left="720" w:right="0"/>
        <w:jc w:val="left"/>
        <w:rPr>
          <w:rFonts w:ascii="Arial" w:hAnsi="Arial" w:eastAsia="Arial" w:cs="Arial"/>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bookmarkStart w:id="7" w:name="_heading=h.xo157nhtujx5"/>
      <w:bookmarkEnd w:id="7"/>
      <w:r>
        <w:rPr>
          <w:rFonts w:eastAsia="Arial" w:cs="Arial" w:ascii="Arial" w:hAnsi="Arial"/>
          <w:b/>
          <w:bCs/>
          <w:i w:val="false"/>
          <w:iCs w:val="false"/>
          <w:caps w:val="false"/>
          <w:smallCaps w:val="false"/>
          <w:strike w:val="false"/>
          <w:dstrike w:val="false"/>
          <w:color w:val="000000"/>
          <w:position w:val="0"/>
          <w:sz w:val="20"/>
          <w:sz w:val="20"/>
          <w:szCs w:val="20"/>
          <w:u w:val="none"/>
          <w:shd w:fill="auto" w:val="clear"/>
          <w:vertAlign w:val="baseline"/>
        </w:rPr>
        <w:t>Limitation of access.</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Vendor shall ensure in each case that access is strictly limited to those individuals who need to know / access the relevant </w:t>
      </w:r>
      <w:r>
        <w:rPr>
          <w:rFonts w:eastAsia="Arial" w:cs="Arial" w:ascii="Arial" w:hAnsi="Arial"/>
          <w:b w:val="false"/>
          <w:bCs w:val="false"/>
          <w:i w:val="false"/>
          <w:iCs w:val="false"/>
          <w:caps w:val="false"/>
          <w:smallCaps w:val="false"/>
          <w:strike w:val="false"/>
          <w:dstrike w:val="false"/>
          <w:color w:val="000000"/>
          <w:position w:val="0"/>
          <w:sz w:val="20"/>
          <w:sz w:val="20"/>
          <w:szCs w:val="20"/>
          <w:highlight w:val="yellow"/>
          <w:u w:val="none"/>
          <w:vertAlign w:val="baseline"/>
        </w:rPr>
        <w:t>Company</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Personal Data, as strictly necessary for the purposes of the Principal Agreement, and to comply with applicable laws in the context of that individual's duties to Vendor.</w:t>
        <w:br/>
      </w:r>
    </w:p>
    <w:p>
      <w:pPr>
        <w:pStyle w:val="normal1"/>
        <w:keepNext w:val="false"/>
        <w:keepLines w:val="false"/>
        <w:pageBreakBefore w:val="false"/>
        <w:widowControl/>
        <w:numPr>
          <w:ilvl w:val="0"/>
          <w:numId w:val="1"/>
        </w:numPr>
        <w:pBdr/>
        <w:shd w:val="clear" w:fill="auto"/>
        <w:spacing w:lineRule="auto" w:line="276" w:before="0" w:after="0"/>
        <w:ind w:hanging="363" w:left="720" w:right="0"/>
        <w:jc w:val="left"/>
        <w:rPr>
          <w:rFonts w:ascii="Arial" w:hAnsi="Arial" w:eastAsia="Arial" w:cs="Arial"/>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bookmarkStart w:id="8" w:name="_heading=h.x2lxzoe5nnb5"/>
      <w:bookmarkEnd w:id="8"/>
      <w:r>
        <w:rPr>
          <w:rFonts w:eastAsia="Arial" w:cs="Arial" w:ascii="Arial" w:hAnsi="Arial"/>
          <w:b/>
          <w:bCs/>
          <w:i w:val="false"/>
          <w:iCs w:val="false"/>
          <w:caps w:val="false"/>
          <w:smallCaps w:val="false"/>
          <w:strike w:val="false"/>
          <w:dstrike w:val="false"/>
          <w:color w:val="000000"/>
          <w:position w:val="0"/>
          <w:sz w:val="20"/>
          <w:sz w:val="20"/>
          <w:szCs w:val="20"/>
          <w:u w:val="none"/>
          <w:shd w:fill="auto" w:val="clear"/>
          <w:vertAlign w:val="baseline"/>
        </w:rPr>
        <w:t>SUBPROCESSING</w:t>
      </w:r>
    </w:p>
    <w:p>
      <w:pPr>
        <w:pStyle w:val="normal1"/>
        <w:keepNext w:val="false"/>
        <w:keepLines w:val="false"/>
        <w:pageBreakBefore w:val="false"/>
        <w:widowControl/>
        <w:numPr>
          <w:ilvl w:val="1"/>
          <w:numId w:val="1"/>
        </w:numPr>
        <w:pBdr/>
        <w:shd w:val="clear" w:fill="auto"/>
        <w:tabs>
          <w:tab w:val="left" w:pos="720" w:leader="none"/>
        </w:tabs>
        <w:spacing w:lineRule="auto" w:line="276" w:before="0" w:after="0"/>
        <w:ind w:hanging="363" w:left="720" w:right="0"/>
        <w:jc w:val="left"/>
        <w:rPr>
          <w:rFonts w:ascii="Arial" w:hAnsi="Arial" w:eastAsia="Arial" w:cs="Arial"/>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bookmarkStart w:id="9" w:name="_heading=h.ll2u8ee5ym42"/>
      <w:bookmarkEnd w:id="9"/>
      <w:r>
        <w:rPr>
          <w:rFonts w:eastAsia="Arial" w:cs="Arial" w:ascii="Arial" w:hAnsi="Arial"/>
          <w:b/>
          <w:bCs/>
          <w:i w:val="false"/>
          <w:iCs w:val="false"/>
          <w:caps w:val="false"/>
          <w:smallCaps w:val="false"/>
          <w:strike w:val="false"/>
          <w:dstrike w:val="false"/>
          <w:color w:val="000000"/>
          <w:position w:val="0"/>
          <w:sz w:val="20"/>
          <w:sz w:val="20"/>
          <w:szCs w:val="20"/>
          <w:u w:val="none"/>
          <w:shd w:fill="auto" w:val="clear"/>
          <w:vertAlign w:val="baseline"/>
        </w:rPr>
        <w:t>Appointment</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w:t>
      </w:r>
      <w:r>
        <w:rPr>
          <w:rFonts w:eastAsia="Arial" w:cs="Arial" w:ascii="Arial" w:hAnsi="Arial"/>
          <w:b w:val="false"/>
          <w:bCs w:val="false"/>
          <w:i w:val="false"/>
          <w:iCs w:val="false"/>
          <w:caps w:val="false"/>
          <w:smallCaps w:val="false"/>
          <w:strike w:val="false"/>
          <w:dstrike w:val="false"/>
          <w:color w:val="000000"/>
          <w:position w:val="0"/>
          <w:sz w:val="20"/>
          <w:sz w:val="20"/>
          <w:szCs w:val="20"/>
          <w:highlight w:val="yellow"/>
          <w:u w:val="none"/>
          <w:vertAlign w:val="baseline"/>
        </w:rPr>
        <w:t>Company</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authorises Vendor to appoint (and permit each Subprocessor appointed in accordance with this Clause 4 to appoint) Subprocessors in connection with the Services and in accordance with this Clause 5 and any restrictions in the Principal Agreement.</w:t>
      </w:r>
    </w:p>
    <w:p>
      <w:pPr>
        <w:pStyle w:val="normal1"/>
        <w:keepNext w:val="false"/>
        <w:keepLines w:val="false"/>
        <w:pageBreakBefore w:val="false"/>
        <w:widowControl/>
        <w:numPr>
          <w:ilvl w:val="1"/>
          <w:numId w:val="1"/>
        </w:numPr>
        <w:pBdr/>
        <w:shd w:val="clear" w:fill="auto"/>
        <w:tabs>
          <w:tab w:val="left" w:pos="720" w:leader="none"/>
        </w:tabs>
        <w:spacing w:lineRule="auto" w:line="276" w:before="0" w:after="0"/>
        <w:ind w:hanging="363" w:left="720" w:right="0"/>
        <w:jc w:val="left"/>
        <w:rPr>
          <w:rFonts w:ascii="Arial" w:hAnsi="Arial" w:eastAsia="Arial" w:cs="Arial"/>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bookmarkStart w:id="10" w:name="_heading=h.cd6u68t2fa2h"/>
      <w:bookmarkEnd w:id="10"/>
      <w:r>
        <w:rPr>
          <w:rFonts w:eastAsia="Arial" w:cs="Arial" w:ascii="Arial" w:hAnsi="Arial"/>
          <w:b/>
          <w:bCs/>
          <w:i w:val="false"/>
          <w:iCs w:val="false"/>
          <w:caps w:val="false"/>
          <w:smallCaps w:val="false"/>
          <w:strike w:val="false"/>
          <w:dstrike w:val="false"/>
          <w:color w:val="000000"/>
          <w:position w:val="0"/>
          <w:sz w:val="20"/>
          <w:sz w:val="20"/>
          <w:szCs w:val="20"/>
          <w:u w:val="none"/>
          <w:shd w:fill="auto" w:val="clear"/>
          <w:vertAlign w:val="baseline"/>
        </w:rPr>
        <w:t>Current Subprocessors</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Vendor shall on request make available to </w:t>
      </w:r>
      <w:r>
        <w:rPr>
          <w:rFonts w:eastAsia="Arial" w:cs="Arial" w:ascii="Arial" w:hAnsi="Arial"/>
          <w:b w:val="false"/>
          <w:bCs w:val="false"/>
          <w:i w:val="false"/>
          <w:iCs w:val="false"/>
          <w:caps w:val="false"/>
          <w:smallCaps w:val="false"/>
          <w:strike w:val="false"/>
          <w:dstrike w:val="false"/>
          <w:color w:val="000000"/>
          <w:position w:val="0"/>
          <w:sz w:val="20"/>
          <w:sz w:val="20"/>
          <w:szCs w:val="20"/>
          <w:highlight w:val="yellow"/>
          <w:u w:val="none"/>
          <w:vertAlign w:val="baseline"/>
        </w:rPr>
        <w:t>Company</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the current list of Subprocessors for the Services, including the identities of those Subprocessors and their country of location. Vendor may continue to use those Subprocessors already engaged by Vendor as at the date of this DPA, subject to Vendor in each case as soon as practicable meeting the obligations set out in this Clause 4. Current list of subprocessors is available on https://www.postaffiliatepro.com/gdpr</w:t>
      </w:r>
    </w:p>
    <w:p>
      <w:pPr>
        <w:pStyle w:val="normal1"/>
        <w:keepNext w:val="false"/>
        <w:keepLines w:val="false"/>
        <w:pageBreakBefore w:val="false"/>
        <w:widowControl/>
        <w:numPr>
          <w:ilvl w:val="1"/>
          <w:numId w:val="1"/>
        </w:numPr>
        <w:pBdr/>
        <w:shd w:val="clear" w:fill="auto"/>
        <w:tabs>
          <w:tab w:val="left" w:pos="720" w:leader="none"/>
          <w:tab w:val="left" w:pos="1800" w:leader="none"/>
        </w:tabs>
        <w:spacing w:lineRule="auto" w:line="276" w:before="0" w:after="0"/>
        <w:ind w:hanging="363" w:left="720" w:right="0"/>
        <w:jc w:val="left"/>
        <w:rPr>
          <w:rFonts w:ascii="Arial" w:hAnsi="Arial" w:eastAsia="Arial" w:cs="Arial"/>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bCs/>
          <w:i w:val="false"/>
          <w:iCs w:val="false"/>
          <w:caps w:val="false"/>
          <w:smallCaps w:val="false"/>
          <w:strike w:val="false"/>
          <w:dstrike w:val="false"/>
          <w:color w:val="000000"/>
          <w:position w:val="0"/>
          <w:sz w:val="20"/>
          <w:sz w:val="20"/>
          <w:szCs w:val="20"/>
          <w:u w:val="none"/>
          <w:shd w:fill="auto" w:val="clear"/>
          <w:vertAlign w:val="baseline"/>
        </w:rPr>
        <w:t>New Subprocessors</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Vendor shall give </w:t>
      </w:r>
      <w:r>
        <w:rPr>
          <w:rFonts w:eastAsia="Arial" w:cs="Arial" w:ascii="Arial" w:hAnsi="Arial"/>
          <w:b w:val="false"/>
          <w:bCs w:val="false"/>
          <w:i w:val="false"/>
          <w:iCs w:val="false"/>
          <w:caps w:val="false"/>
          <w:smallCaps w:val="false"/>
          <w:strike w:val="false"/>
          <w:dstrike w:val="false"/>
          <w:color w:val="000000"/>
          <w:position w:val="0"/>
          <w:sz w:val="20"/>
          <w:sz w:val="20"/>
          <w:szCs w:val="20"/>
          <w:highlight w:val="yellow"/>
          <w:u w:val="none"/>
          <w:vertAlign w:val="baseline"/>
        </w:rPr>
        <w:t>Company</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prior written notice of the appointment of any new or replacement Subprocessor, including full details of the Processing to be undertaken by the Subprocessor. If, within 10 days of receipt of that notice, </w:t>
      </w:r>
      <w:r>
        <w:rPr>
          <w:rFonts w:eastAsia="Arial" w:cs="Arial" w:ascii="Arial" w:hAnsi="Arial"/>
          <w:b w:val="false"/>
          <w:bCs w:val="false"/>
          <w:i w:val="false"/>
          <w:iCs w:val="false"/>
          <w:caps w:val="false"/>
          <w:smallCaps w:val="false"/>
          <w:strike w:val="false"/>
          <w:dstrike w:val="false"/>
          <w:color w:val="000000"/>
          <w:position w:val="0"/>
          <w:sz w:val="20"/>
          <w:sz w:val="20"/>
          <w:szCs w:val="20"/>
          <w:highlight w:val="yellow"/>
          <w:u w:val="none"/>
          <w:vertAlign w:val="baseline"/>
        </w:rPr>
        <w:t>Company</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notifies Vendor in writing of any objections (on reasonable grounds) to the proposed appointment: </w:t>
      </w:r>
    </w:p>
    <w:p>
      <w:pPr>
        <w:pStyle w:val="normal1"/>
        <w:keepNext w:val="false"/>
        <w:keepLines w:val="false"/>
        <w:pageBreakBefore w:val="false"/>
        <w:widowControl/>
        <w:pBdr/>
        <w:shd w:val="clear" w:fill="auto"/>
        <w:spacing w:lineRule="auto" w:line="276" w:before="0" w:after="0"/>
        <w:ind w:hanging="0" w:left="720" w:right="0"/>
        <w:jc w:val="left"/>
        <w:rPr>
          <w:rFonts w:ascii="Arial" w:hAnsi="Arial" w:eastAsia="Arial" w:cs="Arial"/>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bookmarkStart w:id="11" w:name="_heading=h.s8vmfu1de1u5"/>
      <w:bookmarkEnd w:id="11"/>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Vendor shall work with </w:t>
      </w:r>
      <w:r>
        <w:rPr>
          <w:rFonts w:eastAsia="Arial" w:cs="Arial" w:ascii="Arial" w:hAnsi="Arial"/>
          <w:b w:val="false"/>
          <w:bCs w:val="false"/>
          <w:i w:val="false"/>
          <w:iCs w:val="false"/>
          <w:caps w:val="false"/>
          <w:smallCaps w:val="false"/>
          <w:strike w:val="false"/>
          <w:dstrike w:val="false"/>
          <w:color w:val="000000"/>
          <w:position w:val="0"/>
          <w:sz w:val="20"/>
          <w:sz w:val="20"/>
          <w:szCs w:val="20"/>
          <w:highlight w:val="yellow"/>
          <w:u w:val="none"/>
          <w:vertAlign w:val="baseline"/>
        </w:rPr>
        <w:t>Company</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in good faith to make available a commercially reasonable change in the provision of the Services which avoids the use of that proposed Subprocessor; and where such a change cannot be made within 30 days from Vendor's receipt of </w:t>
      </w:r>
      <w:r>
        <w:rPr>
          <w:rFonts w:eastAsia="Arial" w:cs="Arial" w:ascii="Arial" w:hAnsi="Arial"/>
          <w:b w:val="false"/>
          <w:bCs w:val="false"/>
          <w:i w:val="false"/>
          <w:iCs w:val="false"/>
          <w:caps w:val="false"/>
          <w:smallCaps w:val="false"/>
          <w:strike w:val="false"/>
          <w:dstrike w:val="false"/>
          <w:color w:val="000000"/>
          <w:position w:val="0"/>
          <w:sz w:val="20"/>
          <w:sz w:val="20"/>
          <w:szCs w:val="20"/>
          <w:highlight w:val="yellow"/>
          <w:u w:val="none"/>
          <w:vertAlign w:val="baseline"/>
        </w:rPr>
        <w:t>Company’s</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notice, notwithstanding anything in the Principal Agreement, </w:t>
      </w:r>
      <w:r>
        <w:rPr>
          <w:rFonts w:eastAsia="Arial" w:cs="Arial" w:ascii="Arial" w:hAnsi="Arial"/>
          <w:b w:val="false"/>
          <w:bCs w:val="false"/>
          <w:i w:val="false"/>
          <w:iCs w:val="false"/>
          <w:caps w:val="false"/>
          <w:smallCaps w:val="false"/>
          <w:strike w:val="false"/>
          <w:dstrike w:val="false"/>
          <w:color w:val="000000"/>
          <w:position w:val="0"/>
          <w:sz w:val="20"/>
          <w:sz w:val="20"/>
          <w:szCs w:val="20"/>
          <w:highlight w:val="yellow"/>
          <w:u w:val="none"/>
          <w:vertAlign w:val="baseline"/>
        </w:rPr>
        <w:t>Company</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may by written notice to Vendor with immediate effect terminate the Principal Agreement to the extent that it relates to the Services which require the use of the proposed Subprocessor.</w:t>
      </w:r>
    </w:p>
    <w:p>
      <w:pPr>
        <w:pStyle w:val="normal1"/>
        <w:keepNext w:val="false"/>
        <w:keepLines w:val="false"/>
        <w:pageBreakBefore w:val="false"/>
        <w:widowControl/>
        <w:numPr>
          <w:ilvl w:val="1"/>
          <w:numId w:val="1"/>
        </w:numPr>
        <w:pBdr/>
        <w:shd w:val="clear" w:fill="auto"/>
        <w:tabs>
          <w:tab w:val="left" w:pos="720" w:leader="none"/>
          <w:tab w:val="left" w:pos="1800" w:leader="none"/>
        </w:tabs>
        <w:spacing w:lineRule="auto" w:line="276" w:before="0" w:after="0"/>
        <w:ind w:hanging="363" w:left="720" w:right="0"/>
        <w:jc w:val="left"/>
        <w:rPr>
          <w:rFonts w:ascii="Arial" w:hAnsi="Arial" w:eastAsia="Arial" w:cs="Arial"/>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Where a Subprocessor is located outside the EEA in a country not covered by an adequacy decision, the Vendor shall ensure that the engagement of such Subprocessor involves the implementation of Appropriate Safeguards, including, where applicable, the execution of the Standard Contractual Clauses pursuant to Implementing Decision (EU) 2021/914.</w:t>
      </w:r>
    </w:p>
    <w:p>
      <w:pPr>
        <w:pStyle w:val="normal1"/>
        <w:keepNext w:val="false"/>
        <w:keepLines w:val="false"/>
        <w:pageBreakBefore w:val="false"/>
        <w:widowControl/>
        <w:pBdr/>
        <w:shd w:val="clear" w:fill="auto"/>
        <w:spacing w:lineRule="auto" w:line="276" w:before="0" w:after="0"/>
        <w:ind w:hanging="0" w:left="720" w:right="0"/>
        <w:jc w:val="left"/>
        <w:rPr>
          <w:rFonts w:ascii="Arial" w:hAnsi="Arial" w:eastAsia="Arial" w:cs="Arial"/>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normal1"/>
        <w:keepNext w:val="false"/>
        <w:keepLines w:val="false"/>
        <w:pageBreakBefore w:val="false"/>
        <w:widowControl/>
        <w:pBdr/>
        <w:shd w:val="clear" w:fill="auto"/>
        <w:spacing w:lineRule="auto" w:line="276" w:before="0" w:after="0"/>
        <w:ind w:hanging="0" w:left="720" w:right="0"/>
        <w:jc w:val="left"/>
        <w:rPr>
          <w:rFonts w:ascii="Arial" w:hAnsi="Arial" w:eastAsia="Arial" w:cs="Arial"/>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w:t>
      </w:r>
    </w:p>
    <w:p>
      <w:pPr>
        <w:pStyle w:val="normal1"/>
        <w:keepNext w:val="false"/>
        <w:keepLines w:val="false"/>
        <w:pageBreakBefore w:val="false"/>
        <w:widowControl/>
        <w:numPr>
          <w:ilvl w:val="0"/>
          <w:numId w:val="1"/>
        </w:numPr>
        <w:pBdr/>
        <w:shd w:val="clear" w:fill="auto"/>
        <w:spacing w:lineRule="auto" w:line="276" w:before="0" w:after="0"/>
        <w:ind w:hanging="363" w:left="720" w:right="0"/>
        <w:jc w:val="left"/>
        <w:rPr>
          <w:rFonts w:ascii="Arial" w:hAnsi="Arial" w:eastAsia="Arial" w:cs="Arial"/>
          <w:b/>
          <w:bCs/>
          <w:i w:val="false"/>
          <w:i w:val="false"/>
          <w:iCs w:val="false"/>
          <w:caps w:val="false"/>
          <w:smallCaps w:val="false"/>
          <w:strike w:val="false"/>
          <w:dstrike w:val="false"/>
          <w:color w:val="000000"/>
          <w:position w:val="0"/>
          <w:sz w:val="20"/>
          <w:sz w:val="20"/>
          <w:szCs w:val="20"/>
          <w:u w:val="none"/>
          <w:shd w:fill="auto" w:val="clear"/>
          <w:vertAlign w:val="baseline"/>
        </w:rPr>
      </w:pPr>
      <w:bookmarkStart w:id="12" w:name="_heading=h.ohfwz0ossx0"/>
      <w:bookmarkEnd w:id="12"/>
      <w:r>
        <w:rPr>
          <w:rFonts w:eastAsia="Arial" w:cs="Arial" w:ascii="Arial" w:hAnsi="Arial"/>
          <w:b/>
          <w:bCs/>
          <w:i w:val="false"/>
          <w:iCs w:val="false"/>
          <w:caps w:val="false"/>
          <w:smallCaps w:val="false"/>
          <w:strike w:val="false"/>
          <w:dstrike w:val="false"/>
          <w:color w:val="000000"/>
          <w:position w:val="0"/>
          <w:sz w:val="20"/>
          <w:sz w:val="20"/>
          <w:szCs w:val="20"/>
          <w:u w:val="none"/>
          <w:shd w:fill="auto" w:val="clear"/>
          <w:vertAlign w:val="baseline"/>
        </w:rPr>
        <w:t>SECURITY</w:t>
      </w:r>
    </w:p>
    <w:p>
      <w:pPr>
        <w:pStyle w:val="normal1"/>
        <w:keepNext w:val="false"/>
        <w:keepLines w:val="false"/>
        <w:pageBreakBefore w:val="false"/>
        <w:widowControl/>
        <w:numPr>
          <w:ilvl w:val="1"/>
          <w:numId w:val="1"/>
        </w:numPr>
        <w:pBdr/>
        <w:shd w:val="clear" w:fill="auto"/>
        <w:spacing w:lineRule="auto" w:line="276" w:before="0" w:after="0"/>
        <w:ind w:hanging="363" w:left="720" w:right="0"/>
        <w:jc w:val="left"/>
        <w:rPr>
          <w:rFonts w:ascii="Arial" w:hAnsi="Arial" w:eastAsia="Arial" w:cs="Arial"/>
          <w:b/>
          <w:bCs/>
          <w:i w:val="false"/>
          <w:i w:val="false"/>
          <w:iCs w:val="false"/>
          <w:caps w:val="false"/>
          <w:smallCaps w:val="false"/>
          <w:strike w:val="false"/>
          <w:dstrike w:val="false"/>
          <w:color w:val="000000"/>
          <w:position w:val="0"/>
          <w:sz w:val="20"/>
          <w:sz w:val="20"/>
          <w:szCs w:val="20"/>
          <w:u w:val="none"/>
          <w:shd w:fill="auto" w:val="clear"/>
          <w:vertAlign w:val="baseline"/>
        </w:rPr>
      </w:pPr>
      <w:bookmarkStart w:id="13" w:name="_heading=h.qp2kedm161aa"/>
      <w:bookmarkEnd w:id="13"/>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Taking into account the state of the art, the costs of implementation and the nature, scope, context and purposes of Processing as well as the risk of varying likelihood and severity for the rights and freedoms of natural persons, Vendor shall, at its cost and expense, in relation to the </w:t>
      </w:r>
      <w:r>
        <w:rPr>
          <w:rFonts w:eastAsia="Arial" w:cs="Arial" w:ascii="Arial" w:hAnsi="Arial"/>
          <w:b w:val="false"/>
          <w:bCs w:val="false"/>
          <w:i w:val="false"/>
          <w:iCs w:val="false"/>
          <w:caps w:val="false"/>
          <w:smallCaps w:val="false"/>
          <w:strike w:val="false"/>
          <w:dstrike w:val="false"/>
          <w:color w:val="000000"/>
          <w:position w:val="0"/>
          <w:sz w:val="20"/>
          <w:sz w:val="20"/>
          <w:szCs w:val="20"/>
          <w:highlight w:val="yellow"/>
          <w:u w:val="none"/>
          <w:vertAlign w:val="baseline"/>
        </w:rPr>
        <w:t>Company</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Personal Data implement appropriate technical and organizational measures to ensure a level of security appropriate to that risk, including, as appropriate, the measures referred to in the applicable data protection laws, especially Article 32 of the GDPR. In assessing the appropriate level of security, Vendor shall take account in particular of the risks that are presented by Processing, in particular from a Personal Data Breach.</w:t>
      </w:r>
    </w:p>
    <w:p>
      <w:pPr>
        <w:pStyle w:val="normal1"/>
        <w:keepNext w:val="false"/>
        <w:keepLines w:val="false"/>
        <w:pageBreakBefore w:val="false"/>
        <w:widowControl/>
        <w:numPr>
          <w:ilvl w:val="1"/>
          <w:numId w:val="1"/>
        </w:numPr>
        <w:pBdr/>
        <w:shd w:val="clear" w:fill="auto"/>
        <w:spacing w:lineRule="auto" w:line="276" w:before="0" w:after="0"/>
        <w:ind w:hanging="363" w:left="720" w:right="0"/>
        <w:jc w:val="left"/>
        <w:rPr>
          <w:rFonts w:ascii="Arial" w:hAnsi="Arial" w:eastAsia="Arial" w:cs="Arial"/>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These measures should entail physical, logical and data access control as well as data transfer, instruction, entry, availability and separation control. Vendor shall upon request provide </w:t>
      </w:r>
      <w:r>
        <w:rPr>
          <w:rFonts w:eastAsia="Arial" w:cs="Arial" w:ascii="Arial" w:hAnsi="Arial"/>
          <w:b w:val="false"/>
          <w:bCs w:val="false"/>
          <w:i w:val="false"/>
          <w:iCs w:val="false"/>
          <w:caps w:val="false"/>
          <w:smallCaps w:val="false"/>
          <w:strike w:val="false"/>
          <w:dstrike w:val="false"/>
          <w:color w:val="000000"/>
          <w:position w:val="0"/>
          <w:sz w:val="20"/>
          <w:sz w:val="20"/>
          <w:szCs w:val="20"/>
          <w:highlight w:val="yellow"/>
          <w:u w:val="none"/>
          <w:vertAlign w:val="baseline"/>
        </w:rPr>
        <w:t>Company</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with an overview of all such measures.</w:t>
      </w:r>
      <w:r>
        <w:rPr>
          <w:rFonts w:eastAsia="Arial" w:cs="Arial" w:ascii="Arial" w:hAnsi="Arial"/>
          <w:b/>
          <w:bCs/>
          <w:i w:val="false"/>
          <w:iCs w:val="false"/>
          <w:caps w:val="false"/>
          <w:smallCaps w:val="false"/>
          <w:strike w:val="false"/>
          <w:dstrike w:val="false"/>
          <w:color w:val="000000"/>
          <w:position w:val="0"/>
          <w:sz w:val="20"/>
          <w:sz w:val="20"/>
          <w:szCs w:val="20"/>
          <w:u w:val="none"/>
          <w:shd w:fill="auto" w:val="clear"/>
          <w:vertAlign w:val="baseline"/>
        </w:rPr>
        <w:t xml:space="preserve"> </w:t>
      </w:r>
    </w:p>
    <w:p>
      <w:pPr>
        <w:pStyle w:val="normal1"/>
        <w:keepNext w:val="false"/>
        <w:keepLines w:val="false"/>
        <w:pageBreakBefore w:val="false"/>
        <w:widowControl/>
        <w:numPr>
          <w:ilvl w:val="1"/>
          <w:numId w:val="1"/>
        </w:numPr>
        <w:pBdr/>
        <w:shd w:val="clear" w:fill="auto"/>
        <w:spacing w:lineRule="auto" w:line="276" w:before="0" w:after="200"/>
        <w:ind w:hanging="363" w:left="720" w:right="0"/>
        <w:jc w:val="left"/>
        <w:rPr>
          <w:rFonts w:ascii="Arial" w:hAnsi="Arial" w:eastAsia="Arial" w:cs="Arial"/>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Vendor will not materially decrease the overall security of the Services during a subscription term.</w:t>
      </w:r>
    </w:p>
    <w:p>
      <w:pPr>
        <w:pStyle w:val="normal1"/>
        <w:rPr>
          <w:rFonts w:ascii="Arial" w:hAnsi="Arial" w:eastAsia="Arial" w:cs="Arial"/>
          <w:b/>
          <w:bCs/>
          <w:sz w:val="20"/>
          <w:szCs w:val="20"/>
        </w:rPr>
      </w:pPr>
      <w:r>
        <w:rPr>
          <w:rFonts w:eastAsia="Arial" w:cs="Arial" w:ascii="Arial" w:hAnsi="Arial"/>
          <w:b/>
          <w:bCs/>
          <w:sz w:val="20"/>
          <w:szCs w:val="20"/>
        </w:rPr>
      </w:r>
    </w:p>
    <w:p>
      <w:pPr>
        <w:pStyle w:val="normal1"/>
        <w:keepNext w:val="false"/>
        <w:keepLines w:val="false"/>
        <w:pageBreakBefore w:val="false"/>
        <w:widowControl/>
        <w:numPr>
          <w:ilvl w:val="0"/>
          <w:numId w:val="1"/>
        </w:numPr>
        <w:pBdr/>
        <w:shd w:val="clear" w:fill="auto"/>
        <w:spacing w:lineRule="auto" w:line="276" w:before="0" w:after="0"/>
        <w:ind w:hanging="363" w:left="720" w:right="0"/>
        <w:jc w:val="left"/>
        <w:rPr>
          <w:rFonts w:ascii="Arial" w:hAnsi="Arial" w:eastAsia="Arial" w:cs="Arial"/>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bookmarkStart w:id="14" w:name="_heading=h.ma82cdukxkj0"/>
      <w:bookmarkEnd w:id="14"/>
      <w:r>
        <w:rPr>
          <w:rFonts w:eastAsia="Arial" w:cs="Arial" w:ascii="Arial" w:hAnsi="Arial"/>
          <w:b/>
          <w:bCs/>
          <w:i w:val="false"/>
          <w:iCs w:val="false"/>
          <w:caps w:val="false"/>
          <w:smallCaps w:val="false"/>
          <w:strike w:val="false"/>
          <w:dstrike w:val="false"/>
          <w:color w:val="000000"/>
          <w:position w:val="0"/>
          <w:sz w:val="20"/>
          <w:sz w:val="20"/>
          <w:szCs w:val="20"/>
          <w:u w:val="none"/>
          <w:shd w:fill="auto" w:val="clear"/>
          <w:vertAlign w:val="baseline"/>
        </w:rPr>
        <w:t>PERSONAL DATA BREACH</w:t>
      </w:r>
    </w:p>
    <w:p>
      <w:pPr>
        <w:pStyle w:val="normal1"/>
        <w:keepNext w:val="false"/>
        <w:keepLines w:val="false"/>
        <w:pageBreakBefore w:val="false"/>
        <w:widowControl/>
        <w:numPr>
          <w:ilvl w:val="1"/>
          <w:numId w:val="1"/>
        </w:numPr>
        <w:pBdr/>
        <w:shd w:val="clear" w:fill="auto"/>
        <w:tabs>
          <w:tab w:val="left" w:pos="720" w:leader="none"/>
        </w:tabs>
        <w:spacing w:lineRule="auto" w:line="276" w:before="0" w:after="0"/>
        <w:ind w:hanging="363" w:left="720" w:right="0"/>
        <w:jc w:val="left"/>
        <w:rPr>
          <w:rFonts w:ascii="Arial" w:hAnsi="Arial" w:eastAsia="Arial" w:cs="Arial"/>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bookmarkStart w:id="15" w:name="_heading=h.3d35wvjznwuh"/>
      <w:bookmarkEnd w:id="15"/>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Vendor shall notify </w:t>
      </w:r>
      <w:r>
        <w:rPr>
          <w:rFonts w:eastAsia="Arial" w:cs="Arial" w:ascii="Arial" w:hAnsi="Arial"/>
          <w:b w:val="false"/>
          <w:bCs w:val="false"/>
          <w:i w:val="false"/>
          <w:iCs w:val="false"/>
          <w:caps w:val="false"/>
          <w:smallCaps w:val="false"/>
          <w:strike w:val="false"/>
          <w:dstrike w:val="false"/>
          <w:color w:val="000000"/>
          <w:position w:val="0"/>
          <w:sz w:val="20"/>
          <w:sz w:val="20"/>
          <w:szCs w:val="20"/>
          <w:highlight w:val="yellow"/>
          <w:u w:val="none"/>
          <w:vertAlign w:val="baseline"/>
        </w:rPr>
        <w:t>Company</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without undue delay but in any event no later than 36 hours after Vendor or any Subprocessor becomes aware of a Personal Data Breach affecting </w:t>
      </w:r>
      <w:r>
        <w:rPr>
          <w:rFonts w:eastAsia="Arial" w:cs="Arial" w:ascii="Arial" w:hAnsi="Arial"/>
          <w:b w:val="false"/>
          <w:bCs w:val="false"/>
          <w:i w:val="false"/>
          <w:iCs w:val="false"/>
          <w:caps w:val="false"/>
          <w:smallCaps w:val="false"/>
          <w:strike w:val="false"/>
          <w:dstrike w:val="false"/>
          <w:color w:val="000000"/>
          <w:position w:val="0"/>
          <w:sz w:val="20"/>
          <w:sz w:val="20"/>
          <w:szCs w:val="20"/>
          <w:highlight w:val="yellow"/>
          <w:u w:val="none"/>
          <w:vertAlign w:val="baseline"/>
        </w:rPr>
        <w:t>Company</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Personal Data, providing </w:t>
      </w:r>
      <w:r>
        <w:rPr>
          <w:rFonts w:eastAsia="Arial" w:cs="Arial" w:ascii="Arial" w:hAnsi="Arial"/>
          <w:b w:val="false"/>
          <w:bCs w:val="false"/>
          <w:i w:val="false"/>
          <w:iCs w:val="false"/>
          <w:caps w:val="false"/>
          <w:smallCaps w:val="false"/>
          <w:strike w:val="false"/>
          <w:dstrike w:val="false"/>
          <w:color w:val="000000"/>
          <w:position w:val="0"/>
          <w:sz w:val="20"/>
          <w:sz w:val="20"/>
          <w:szCs w:val="20"/>
          <w:highlight w:val="yellow"/>
          <w:u w:val="none"/>
          <w:vertAlign w:val="baseline"/>
        </w:rPr>
        <w:t>Company</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with sufficient information to allow </w:t>
      </w:r>
      <w:r>
        <w:rPr>
          <w:rFonts w:eastAsia="Arial" w:cs="Arial" w:ascii="Arial" w:hAnsi="Arial"/>
          <w:b w:val="false"/>
          <w:bCs w:val="false"/>
          <w:i w:val="false"/>
          <w:iCs w:val="false"/>
          <w:caps w:val="false"/>
          <w:smallCaps w:val="false"/>
          <w:strike w:val="false"/>
          <w:dstrike w:val="false"/>
          <w:color w:val="000000"/>
          <w:position w:val="0"/>
          <w:sz w:val="20"/>
          <w:sz w:val="20"/>
          <w:szCs w:val="20"/>
          <w:highlight w:val="yellow"/>
          <w:u w:val="none"/>
          <w:vertAlign w:val="baseline"/>
        </w:rPr>
        <w:t>Company</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to meet its obligations to report or inform Data Subjects of the Personal Data Breach under the applicable data protection laws.  </w:t>
      </w:r>
    </w:p>
    <w:p>
      <w:pPr>
        <w:pStyle w:val="normal1"/>
        <w:keepNext w:val="false"/>
        <w:keepLines w:val="false"/>
        <w:pageBreakBefore w:val="false"/>
        <w:widowControl/>
        <w:numPr>
          <w:ilvl w:val="1"/>
          <w:numId w:val="1"/>
        </w:numPr>
        <w:pBdr/>
        <w:shd w:val="clear" w:fill="auto"/>
        <w:spacing w:lineRule="auto" w:line="276" w:before="0" w:after="0"/>
        <w:ind w:hanging="363" w:left="720" w:right="0"/>
        <w:jc w:val="left"/>
        <w:rPr>
          <w:rFonts w:ascii="Arial" w:hAnsi="Arial" w:eastAsia="Arial" w:cs="Arial"/>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Such notification shall as a minimum:</w:t>
      </w:r>
    </w:p>
    <w:p>
      <w:pPr>
        <w:pStyle w:val="normal1"/>
        <w:keepNext w:val="false"/>
        <w:keepLines w:val="false"/>
        <w:pageBreakBefore w:val="false"/>
        <w:widowControl/>
        <w:numPr>
          <w:ilvl w:val="0"/>
          <w:numId w:val="4"/>
        </w:numPr>
        <w:pBdr/>
        <w:shd w:val="clear" w:fill="auto"/>
        <w:spacing w:lineRule="auto" w:line="276" w:before="0" w:after="0"/>
        <w:ind w:hanging="360" w:left="1440" w:right="0"/>
        <w:jc w:val="left"/>
        <w:rPr>
          <w:rFonts w:ascii="Arial" w:hAnsi="Arial" w:eastAsia="Arial" w:cs="Arial"/>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describe the nature of the Personal Data Breach, the categories and numbers of Data Subjects concerned, and the categories and numbers of Personal Data records concerned;</w:t>
      </w:r>
    </w:p>
    <w:p>
      <w:pPr>
        <w:pStyle w:val="normal1"/>
        <w:keepNext w:val="false"/>
        <w:keepLines w:val="false"/>
        <w:pageBreakBefore w:val="false"/>
        <w:widowControl/>
        <w:numPr>
          <w:ilvl w:val="0"/>
          <w:numId w:val="4"/>
        </w:numPr>
        <w:pBdr/>
        <w:shd w:val="clear" w:fill="auto"/>
        <w:spacing w:lineRule="auto" w:line="276" w:before="0" w:after="0"/>
        <w:ind w:hanging="360" w:left="1440" w:right="0"/>
        <w:jc w:val="left"/>
        <w:rPr>
          <w:rFonts w:ascii="Arial" w:hAnsi="Arial" w:eastAsia="Arial" w:cs="Arial"/>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communicate the name and contact details of Vendor's data protection officer or other relevant contact from whom more information may be obtained;</w:t>
      </w:r>
    </w:p>
    <w:p>
      <w:pPr>
        <w:pStyle w:val="normal1"/>
        <w:keepNext w:val="false"/>
        <w:keepLines w:val="false"/>
        <w:pageBreakBefore w:val="false"/>
        <w:widowControl/>
        <w:numPr>
          <w:ilvl w:val="0"/>
          <w:numId w:val="4"/>
        </w:numPr>
        <w:pBdr/>
        <w:shd w:val="clear" w:fill="auto"/>
        <w:spacing w:lineRule="auto" w:line="276" w:before="0" w:after="0"/>
        <w:ind w:hanging="360" w:left="1440" w:right="0"/>
        <w:jc w:val="left"/>
        <w:rPr>
          <w:rFonts w:ascii="Arial" w:hAnsi="Arial" w:eastAsia="Arial" w:cs="Arial"/>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describe the likely consequences of the Personal Data Breach; and</w:t>
      </w:r>
    </w:p>
    <w:p>
      <w:pPr>
        <w:pStyle w:val="normal1"/>
        <w:keepNext w:val="false"/>
        <w:keepLines w:val="false"/>
        <w:pageBreakBefore w:val="false"/>
        <w:widowControl/>
        <w:numPr>
          <w:ilvl w:val="0"/>
          <w:numId w:val="4"/>
        </w:numPr>
        <w:pBdr/>
        <w:shd w:val="clear" w:fill="auto"/>
        <w:spacing w:lineRule="auto" w:line="276" w:before="0" w:after="0"/>
        <w:ind w:hanging="360" w:left="1440" w:right="0"/>
        <w:jc w:val="left"/>
        <w:rPr>
          <w:rFonts w:ascii="Arial" w:hAnsi="Arial" w:eastAsia="Arial" w:cs="Arial"/>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describe the measures taken or proposed to be taken to address the Personal Data Breach.</w:t>
      </w:r>
    </w:p>
    <w:p>
      <w:pPr>
        <w:pStyle w:val="normal1"/>
        <w:keepNext w:val="false"/>
        <w:keepLines w:val="false"/>
        <w:pageBreakBefore w:val="false"/>
        <w:widowControl/>
        <w:numPr>
          <w:ilvl w:val="1"/>
          <w:numId w:val="1"/>
        </w:numPr>
        <w:pBdr/>
        <w:shd w:val="clear" w:fill="auto"/>
        <w:tabs>
          <w:tab w:val="left" w:pos="720" w:leader="none"/>
        </w:tabs>
        <w:spacing w:lineRule="auto" w:line="276" w:before="0" w:after="200"/>
        <w:ind w:hanging="363" w:left="720" w:right="0"/>
        <w:jc w:val="left"/>
        <w:rPr>
          <w:rFonts w:ascii="Arial" w:hAnsi="Arial" w:eastAsia="Arial" w:cs="Arial"/>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bookmarkStart w:id="16" w:name="_heading=h.gy001tku9pmb"/>
      <w:bookmarkEnd w:id="16"/>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Vendor shall, at its cost and expense, co-operate with </w:t>
      </w:r>
      <w:r>
        <w:rPr>
          <w:rFonts w:eastAsia="Arial" w:cs="Arial" w:ascii="Arial" w:hAnsi="Arial"/>
          <w:b w:val="false"/>
          <w:bCs w:val="false"/>
          <w:i w:val="false"/>
          <w:iCs w:val="false"/>
          <w:caps w:val="false"/>
          <w:smallCaps w:val="false"/>
          <w:strike w:val="false"/>
          <w:dstrike w:val="false"/>
          <w:color w:val="000000"/>
          <w:position w:val="0"/>
          <w:sz w:val="20"/>
          <w:sz w:val="20"/>
          <w:szCs w:val="20"/>
          <w:highlight w:val="yellow"/>
          <w:u w:val="none"/>
          <w:vertAlign w:val="baseline"/>
        </w:rPr>
        <w:t>Company</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and take such reasonable commercial steps as are directed by </w:t>
      </w:r>
      <w:r>
        <w:rPr>
          <w:rFonts w:eastAsia="Arial" w:cs="Arial" w:ascii="Arial" w:hAnsi="Arial"/>
          <w:b w:val="false"/>
          <w:bCs w:val="false"/>
          <w:i w:val="false"/>
          <w:iCs w:val="false"/>
          <w:caps w:val="false"/>
          <w:smallCaps w:val="false"/>
          <w:strike w:val="false"/>
          <w:dstrike w:val="false"/>
          <w:color w:val="000000"/>
          <w:position w:val="0"/>
          <w:sz w:val="20"/>
          <w:sz w:val="20"/>
          <w:szCs w:val="20"/>
          <w:highlight w:val="yellow"/>
          <w:u w:val="none"/>
          <w:vertAlign w:val="baseline"/>
        </w:rPr>
        <w:t>Company</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to assist in the investigation, mitigation and remediation of each such Personal Data Breach.</w:t>
      </w:r>
    </w:p>
    <w:p>
      <w:pPr>
        <w:pStyle w:val="normal1"/>
        <w:rPr>
          <w:rFonts w:ascii="Arial" w:hAnsi="Arial" w:eastAsia="Arial" w:cs="Arial"/>
          <w:b/>
          <w:bCs/>
          <w:sz w:val="20"/>
          <w:szCs w:val="20"/>
        </w:rPr>
      </w:pPr>
      <w:r>
        <w:rPr>
          <w:rFonts w:eastAsia="Arial" w:cs="Arial" w:ascii="Arial" w:hAnsi="Arial"/>
          <w:b/>
          <w:bCs/>
          <w:sz w:val="20"/>
          <w:szCs w:val="20"/>
        </w:rPr>
      </w:r>
    </w:p>
    <w:p>
      <w:pPr>
        <w:pStyle w:val="normal1"/>
        <w:keepNext w:val="false"/>
        <w:keepLines w:val="false"/>
        <w:pageBreakBefore w:val="false"/>
        <w:widowControl/>
        <w:numPr>
          <w:ilvl w:val="0"/>
          <w:numId w:val="1"/>
        </w:numPr>
        <w:pBdr/>
        <w:shd w:val="clear" w:fill="auto"/>
        <w:spacing w:lineRule="auto" w:line="276" w:before="0" w:after="0"/>
        <w:ind w:hanging="363" w:left="720" w:right="0"/>
        <w:jc w:val="left"/>
        <w:rPr>
          <w:rFonts w:ascii="Arial" w:hAnsi="Arial" w:eastAsia="Arial" w:cs="Arial"/>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bCs/>
          <w:i w:val="false"/>
          <w:iCs w:val="false"/>
          <w:caps w:val="false"/>
          <w:smallCaps w:val="false"/>
          <w:strike w:val="false"/>
          <w:dstrike w:val="false"/>
          <w:color w:val="000000"/>
          <w:position w:val="0"/>
          <w:sz w:val="20"/>
          <w:sz w:val="20"/>
          <w:szCs w:val="20"/>
          <w:u w:val="none"/>
          <w:shd w:fill="auto" w:val="clear"/>
          <w:vertAlign w:val="baseline"/>
        </w:rPr>
        <w:t>RECORDS, INFORMATION AND AUDIT</w:t>
      </w:r>
    </w:p>
    <w:p>
      <w:pPr>
        <w:pStyle w:val="normal1"/>
        <w:keepNext w:val="false"/>
        <w:keepLines w:val="false"/>
        <w:pageBreakBefore w:val="false"/>
        <w:widowControl/>
        <w:numPr>
          <w:ilvl w:val="1"/>
          <w:numId w:val="1"/>
        </w:numPr>
        <w:pBdr/>
        <w:shd w:val="clear" w:fill="auto"/>
        <w:tabs>
          <w:tab w:val="left" w:pos="720" w:leader="none"/>
        </w:tabs>
        <w:spacing w:lineRule="auto" w:line="276" w:before="0" w:after="0"/>
        <w:ind w:hanging="363" w:left="720" w:right="0"/>
        <w:jc w:val="left"/>
        <w:rPr>
          <w:rFonts w:ascii="Arial" w:hAnsi="Arial" w:eastAsia="Arial" w:cs="Arial"/>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Vendor shall make available to </w:t>
      </w:r>
      <w:r>
        <w:rPr>
          <w:rFonts w:eastAsia="Arial" w:cs="Arial" w:ascii="Arial" w:hAnsi="Arial"/>
          <w:b w:val="false"/>
          <w:bCs w:val="false"/>
          <w:i w:val="false"/>
          <w:iCs w:val="false"/>
          <w:caps w:val="false"/>
          <w:smallCaps w:val="false"/>
          <w:strike w:val="false"/>
          <w:dstrike w:val="false"/>
          <w:color w:val="000000"/>
          <w:position w:val="0"/>
          <w:sz w:val="20"/>
          <w:sz w:val="20"/>
          <w:szCs w:val="20"/>
          <w:highlight w:val="yellow"/>
          <w:u w:val="none"/>
          <w:vertAlign w:val="baseline"/>
        </w:rPr>
        <w:t>Company</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on request in a timely manner and in any event within 3 working days copies of complete, accurate and up to date written records of all categories of Processing activities carried out on behalf of </w:t>
      </w:r>
      <w:r>
        <w:rPr>
          <w:rFonts w:eastAsia="Arial" w:cs="Arial" w:ascii="Arial" w:hAnsi="Arial"/>
          <w:b w:val="false"/>
          <w:bCs w:val="false"/>
          <w:i w:val="false"/>
          <w:iCs w:val="false"/>
          <w:caps w:val="false"/>
          <w:smallCaps w:val="false"/>
          <w:strike w:val="false"/>
          <w:dstrike w:val="false"/>
          <w:color w:val="000000"/>
          <w:position w:val="0"/>
          <w:sz w:val="20"/>
          <w:sz w:val="20"/>
          <w:szCs w:val="20"/>
          <w:highlight w:val="yellow"/>
          <w:u w:val="none"/>
          <w:vertAlign w:val="baseline"/>
        </w:rPr>
        <w:t>Company</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containing such information as </w:t>
      </w:r>
      <w:r>
        <w:rPr>
          <w:rFonts w:eastAsia="Arial" w:cs="Arial" w:ascii="Arial" w:hAnsi="Arial"/>
          <w:b w:val="false"/>
          <w:bCs w:val="false"/>
          <w:i w:val="false"/>
          <w:iCs w:val="false"/>
          <w:caps w:val="false"/>
          <w:smallCaps w:val="false"/>
          <w:strike w:val="false"/>
          <w:dstrike w:val="false"/>
          <w:color w:val="000000"/>
          <w:position w:val="0"/>
          <w:sz w:val="20"/>
          <w:sz w:val="20"/>
          <w:szCs w:val="20"/>
          <w:highlight w:val="yellow"/>
          <w:u w:val="none"/>
          <w:vertAlign w:val="baseline"/>
        </w:rPr>
        <w:t>Company</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reasonably requires to demonstrate Vendor’s and </w:t>
      </w:r>
      <w:r>
        <w:rPr>
          <w:rFonts w:eastAsia="Arial" w:cs="Arial" w:ascii="Arial" w:hAnsi="Arial"/>
          <w:b w:val="false"/>
          <w:bCs w:val="false"/>
          <w:i w:val="false"/>
          <w:iCs w:val="false"/>
          <w:caps w:val="false"/>
          <w:smallCaps w:val="false"/>
          <w:strike w:val="false"/>
          <w:dstrike w:val="false"/>
          <w:color w:val="000000"/>
          <w:position w:val="0"/>
          <w:sz w:val="20"/>
          <w:sz w:val="20"/>
          <w:szCs w:val="20"/>
          <w:highlight w:val="yellow"/>
          <w:u w:val="none"/>
          <w:vertAlign w:val="baseline"/>
        </w:rPr>
        <w:t>Company’s</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compliance with their respective obligations under applicable data protection laws and this DPA.</w:t>
      </w:r>
    </w:p>
    <w:p>
      <w:pPr>
        <w:pStyle w:val="normal1"/>
        <w:keepNext w:val="false"/>
        <w:keepLines w:val="false"/>
        <w:pageBreakBefore w:val="false"/>
        <w:widowControl/>
        <w:numPr>
          <w:ilvl w:val="1"/>
          <w:numId w:val="1"/>
        </w:numPr>
        <w:pBdr/>
        <w:shd w:val="clear" w:fill="auto"/>
        <w:spacing w:lineRule="auto" w:line="276" w:before="0" w:after="0"/>
        <w:ind w:hanging="363" w:left="720" w:right="0"/>
        <w:jc w:val="left"/>
        <w:rPr>
          <w:rFonts w:ascii="Arial" w:hAnsi="Arial" w:eastAsia="Arial" w:cs="Arial"/>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Vendor shall upon reasonable notice and at no cost to </w:t>
      </w:r>
      <w:r>
        <w:rPr>
          <w:rFonts w:eastAsia="Arial" w:cs="Arial" w:ascii="Arial" w:hAnsi="Arial"/>
          <w:b w:val="false"/>
          <w:bCs w:val="false"/>
          <w:i w:val="false"/>
          <w:iCs w:val="false"/>
          <w:caps w:val="false"/>
          <w:smallCaps w:val="false"/>
          <w:strike w:val="false"/>
          <w:dstrike w:val="false"/>
          <w:color w:val="000000"/>
          <w:position w:val="0"/>
          <w:sz w:val="20"/>
          <w:sz w:val="20"/>
          <w:szCs w:val="20"/>
          <w:highlight w:val="yellow"/>
          <w:u w:val="none"/>
          <w:vertAlign w:val="baseline"/>
        </w:rPr>
        <w:t>Company</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allow for and contribute to audits, for the purpose of demonstrating compliance by Vendor and </w:t>
      </w:r>
      <w:r>
        <w:rPr>
          <w:rFonts w:eastAsia="Arial" w:cs="Arial" w:ascii="Arial" w:hAnsi="Arial"/>
          <w:b w:val="false"/>
          <w:bCs w:val="false"/>
          <w:i w:val="false"/>
          <w:iCs w:val="false"/>
          <w:caps w:val="false"/>
          <w:smallCaps w:val="false"/>
          <w:strike w:val="false"/>
          <w:dstrike w:val="false"/>
          <w:color w:val="000000"/>
          <w:position w:val="0"/>
          <w:sz w:val="20"/>
          <w:sz w:val="20"/>
          <w:szCs w:val="20"/>
          <w:highlight w:val="yellow"/>
          <w:u w:val="none"/>
          <w:vertAlign w:val="baseline"/>
        </w:rPr>
        <w:t>Company</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with their respective obligations under applicable data protection laws and under this DPA. Especially, Vendor shall provide and procure reasonable access (where practicable, during normal business hours) to information, documentation, facilities, equipment, premises and sites relating to </w:t>
      </w:r>
      <w:r>
        <w:rPr>
          <w:rFonts w:eastAsia="Arial" w:cs="Arial" w:ascii="Arial" w:hAnsi="Arial"/>
          <w:b w:val="false"/>
          <w:bCs w:val="false"/>
          <w:i w:val="false"/>
          <w:iCs w:val="false"/>
          <w:caps w:val="false"/>
          <w:smallCaps w:val="false"/>
          <w:strike w:val="false"/>
          <w:dstrike w:val="false"/>
          <w:color w:val="000000"/>
          <w:position w:val="0"/>
          <w:sz w:val="20"/>
          <w:sz w:val="20"/>
          <w:szCs w:val="20"/>
          <w:highlight w:val="yellow"/>
          <w:u w:val="none"/>
          <w:vertAlign w:val="baseline"/>
        </w:rPr>
        <w:t>Company</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Personal Data and/or the records referred to in clause 7.1, and to Vendor Personnel. </w:t>
      </w:r>
    </w:p>
    <w:p>
      <w:pPr>
        <w:pStyle w:val="normal1"/>
        <w:keepNext w:val="false"/>
        <w:keepLines w:val="false"/>
        <w:pageBreakBefore w:val="false"/>
        <w:widowControl/>
        <w:numPr>
          <w:ilvl w:val="1"/>
          <w:numId w:val="1"/>
        </w:numPr>
        <w:pBdr/>
        <w:shd w:val="clear" w:fill="auto"/>
        <w:tabs>
          <w:tab w:val="left" w:pos="720" w:leader="none"/>
        </w:tabs>
        <w:spacing w:lineRule="auto" w:line="276" w:before="0" w:after="0"/>
        <w:ind w:hanging="363" w:left="720" w:right="0"/>
        <w:jc w:val="left"/>
        <w:rPr>
          <w:rFonts w:ascii="Arial" w:hAnsi="Arial" w:eastAsia="Arial" w:cs="Arial"/>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Vendor shall promptly resolve, at its own cost and expense, all data protection and security issues discovered by </w:t>
      </w:r>
      <w:r>
        <w:rPr>
          <w:rFonts w:eastAsia="Arial" w:cs="Arial" w:ascii="Arial" w:hAnsi="Arial"/>
          <w:b w:val="false"/>
          <w:bCs w:val="false"/>
          <w:i w:val="false"/>
          <w:iCs w:val="false"/>
          <w:caps w:val="false"/>
          <w:smallCaps w:val="false"/>
          <w:strike w:val="false"/>
          <w:dstrike w:val="false"/>
          <w:color w:val="000000"/>
          <w:position w:val="0"/>
          <w:sz w:val="20"/>
          <w:sz w:val="20"/>
          <w:szCs w:val="20"/>
          <w:highlight w:val="yellow"/>
          <w:u w:val="none"/>
          <w:vertAlign w:val="baseline"/>
        </w:rPr>
        <w:t>Company</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and reported to Vendor that reveal a breach or potential breach by Vendor of its obligations under this DPA.</w:t>
      </w:r>
    </w:p>
    <w:p>
      <w:pPr>
        <w:pStyle w:val="normal1"/>
        <w:keepNext w:val="false"/>
        <w:keepLines w:val="false"/>
        <w:pageBreakBefore w:val="false"/>
        <w:widowControl/>
        <w:numPr>
          <w:ilvl w:val="1"/>
          <w:numId w:val="1"/>
        </w:numPr>
        <w:pBdr/>
        <w:shd w:val="clear" w:fill="auto"/>
        <w:tabs>
          <w:tab w:val="left" w:pos="720" w:leader="none"/>
        </w:tabs>
        <w:spacing w:lineRule="auto" w:line="276" w:before="0" w:after="0"/>
        <w:ind w:hanging="363" w:left="720" w:right="0"/>
        <w:jc w:val="left"/>
        <w:rPr>
          <w:rFonts w:ascii="Arial" w:hAnsi="Arial" w:eastAsia="Arial" w:cs="Arial"/>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If Vendor is in breach of its obligations under this DPA, </w:t>
      </w:r>
      <w:r>
        <w:rPr>
          <w:rFonts w:eastAsia="Arial" w:cs="Arial" w:ascii="Arial" w:hAnsi="Arial"/>
          <w:b w:val="false"/>
          <w:bCs w:val="false"/>
          <w:i w:val="false"/>
          <w:iCs w:val="false"/>
          <w:caps w:val="false"/>
          <w:smallCaps w:val="false"/>
          <w:strike w:val="false"/>
          <w:dstrike w:val="false"/>
          <w:color w:val="000000"/>
          <w:position w:val="0"/>
          <w:sz w:val="20"/>
          <w:sz w:val="20"/>
          <w:szCs w:val="20"/>
          <w:highlight w:val="yellow"/>
          <w:u w:val="none"/>
          <w:vertAlign w:val="baseline"/>
        </w:rPr>
        <w:t>Company</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may suspend the transfer of </w:t>
      </w:r>
      <w:r>
        <w:rPr>
          <w:rFonts w:eastAsia="Arial" w:cs="Arial" w:ascii="Arial" w:hAnsi="Arial"/>
          <w:b w:val="false"/>
          <w:bCs w:val="false"/>
          <w:i w:val="false"/>
          <w:iCs w:val="false"/>
          <w:caps w:val="false"/>
          <w:smallCaps w:val="false"/>
          <w:strike w:val="false"/>
          <w:dstrike w:val="false"/>
          <w:color w:val="000000"/>
          <w:position w:val="0"/>
          <w:sz w:val="20"/>
          <w:sz w:val="20"/>
          <w:szCs w:val="20"/>
          <w:highlight w:val="yellow"/>
          <w:u w:val="none"/>
          <w:vertAlign w:val="baseline"/>
        </w:rPr>
        <w:t>Company</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Personal Data to Vendor until the breach is remedied.</w:t>
      </w:r>
    </w:p>
    <w:p>
      <w:pPr>
        <w:pStyle w:val="normal1"/>
        <w:keepNext w:val="false"/>
        <w:keepLines w:val="false"/>
        <w:pageBreakBefore w:val="false"/>
        <w:widowControl/>
        <w:numPr>
          <w:ilvl w:val="1"/>
          <w:numId w:val="1"/>
        </w:numPr>
        <w:pBdr/>
        <w:shd w:val="clear" w:fill="auto"/>
        <w:tabs>
          <w:tab w:val="left" w:pos="720" w:leader="none"/>
        </w:tabs>
        <w:spacing w:lineRule="auto" w:line="276" w:before="0" w:after="200"/>
        <w:ind w:hanging="363" w:left="720" w:right="0"/>
        <w:jc w:val="left"/>
        <w:rPr>
          <w:rFonts w:ascii="Arial" w:hAnsi="Arial" w:eastAsia="Arial" w:cs="Arial"/>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0"/>
          <w:sz w:val="20"/>
          <w:szCs w:val="20"/>
          <w:highlight w:val="yellow"/>
          <w:u w:val="none"/>
          <w:vertAlign w:val="baseline"/>
        </w:rPr>
        <w:t>Company</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shall be entitled to share any notification, details, records or information provided by or on behalf of Vendor under this DPA with </w:t>
      </w:r>
      <w:r>
        <w:rPr>
          <w:rFonts w:eastAsia="Arial" w:cs="Arial" w:ascii="Arial" w:hAnsi="Arial"/>
          <w:b w:val="false"/>
          <w:bCs w:val="false"/>
          <w:i w:val="false"/>
          <w:iCs w:val="false"/>
          <w:caps w:val="false"/>
          <w:smallCaps w:val="false"/>
          <w:strike w:val="false"/>
          <w:dstrike w:val="false"/>
          <w:color w:val="000000"/>
          <w:position w:val="0"/>
          <w:sz w:val="20"/>
          <w:sz w:val="20"/>
          <w:szCs w:val="20"/>
          <w:highlight w:val="yellow"/>
          <w:u w:val="none"/>
          <w:vertAlign w:val="baseline"/>
        </w:rPr>
        <w:t>Company</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its professional advisors and/or the Supervisory Authority.</w:t>
      </w:r>
    </w:p>
    <w:p>
      <w:pPr>
        <w:pStyle w:val="normal1"/>
        <w:rPr>
          <w:rFonts w:ascii="Arial" w:hAnsi="Arial" w:eastAsia="Arial" w:cs="Arial"/>
          <w:b/>
          <w:bCs/>
          <w:sz w:val="20"/>
          <w:szCs w:val="20"/>
        </w:rPr>
      </w:pPr>
      <w:r>
        <w:rPr>
          <w:rFonts w:eastAsia="Arial" w:cs="Arial" w:ascii="Arial" w:hAnsi="Arial"/>
          <w:b/>
          <w:bCs/>
          <w:sz w:val="20"/>
          <w:szCs w:val="20"/>
        </w:rPr>
      </w:r>
    </w:p>
    <w:p>
      <w:pPr>
        <w:pStyle w:val="normal1"/>
        <w:keepNext w:val="false"/>
        <w:keepLines w:val="false"/>
        <w:pageBreakBefore w:val="false"/>
        <w:widowControl/>
        <w:numPr>
          <w:ilvl w:val="0"/>
          <w:numId w:val="1"/>
        </w:numPr>
        <w:pBdr/>
        <w:shd w:val="clear" w:fill="auto"/>
        <w:spacing w:lineRule="auto" w:line="276" w:before="0" w:after="0"/>
        <w:ind w:hanging="363" w:left="720" w:right="0"/>
        <w:jc w:val="left"/>
        <w:rPr>
          <w:rFonts w:ascii="Arial" w:hAnsi="Arial" w:eastAsia="Arial" w:cs="Arial"/>
          <w:b/>
          <w:bCs/>
          <w:i w:val="false"/>
          <w:i w:val="false"/>
          <w:iCs w:val="false"/>
          <w:caps w:val="false"/>
          <w:smallCaps w:val="false"/>
          <w:strike w:val="false"/>
          <w:dstrike w:val="false"/>
          <w:color w:val="000000"/>
          <w:position w:val="0"/>
          <w:sz w:val="20"/>
          <w:sz w:val="20"/>
          <w:szCs w:val="20"/>
          <w:u w:val="none"/>
          <w:shd w:fill="auto" w:val="clear"/>
          <w:vertAlign w:val="baseline"/>
        </w:rPr>
      </w:pPr>
      <w:bookmarkStart w:id="17" w:name="_heading=h.s1gi395vfy1y"/>
      <w:bookmarkEnd w:id="17"/>
      <w:r>
        <w:rPr>
          <w:rFonts w:eastAsia="Arial" w:cs="Arial" w:ascii="Arial" w:hAnsi="Arial"/>
          <w:b/>
          <w:bCs/>
          <w:i w:val="false"/>
          <w:iCs w:val="false"/>
          <w:caps w:val="false"/>
          <w:smallCaps w:val="false"/>
          <w:strike w:val="false"/>
          <w:dstrike w:val="false"/>
          <w:color w:val="000000"/>
          <w:position w:val="0"/>
          <w:sz w:val="20"/>
          <w:sz w:val="20"/>
          <w:szCs w:val="20"/>
          <w:u w:val="none"/>
          <w:shd w:fill="auto" w:val="clear"/>
          <w:vertAlign w:val="baseline"/>
        </w:rPr>
        <w:t xml:space="preserve">DELETION OR RETURN OF </w:t>
      </w:r>
      <w:r>
        <w:rPr>
          <w:rFonts w:eastAsia="Arial" w:cs="Arial" w:ascii="Arial" w:hAnsi="Arial"/>
          <w:b/>
          <w:bCs/>
          <w:i w:val="false"/>
          <w:iCs w:val="false"/>
          <w:caps w:val="false"/>
          <w:smallCaps w:val="false"/>
          <w:strike w:val="false"/>
          <w:dstrike w:val="false"/>
          <w:color w:val="000000"/>
          <w:position w:val="0"/>
          <w:sz w:val="20"/>
          <w:sz w:val="20"/>
          <w:szCs w:val="20"/>
          <w:highlight w:val="yellow"/>
          <w:u w:val="none"/>
          <w:vertAlign w:val="baseline"/>
        </w:rPr>
        <w:t>COMPANY</w:t>
      </w:r>
      <w:r>
        <w:rPr>
          <w:rFonts w:eastAsia="Arial" w:cs="Arial" w:ascii="Arial" w:hAnsi="Arial"/>
          <w:b/>
          <w:bCs/>
          <w:i w:val="false"/>
          <w:iCs w:val="false"/>
          <w:caps w:val="false"/>
          <w:smallCaps w:val="false"/>
          <w:strike w:val="false"/>
          <w:dstrike w:val="false"/>
          <w:color w:val="000000"/>
          <w:position w:val="0"/>
          <w:sz w:val="20"/>
          <w:sz w:val="20"/>
          <w:szCs w:val="20"/>
          <w:u w:val="none"/>
          <w:shd w:fill="auto" w:val="clear"/>
          <w:vertAlign w:val="baseline"/>
        </w:rPr>
        <w:t xml:space="preserve"> PERSONAL DATA</w:t>
      </w:r>
    </w:p>
    <w:p>
      <w:pPr>
        <w:pStyle w:val="normal1"/>
        <w:keepNext w:val="false"/>
        <w:keepLines w:val="false"/>
        <w:pageBreakBefore w:val="false"/>
        <w:widowControl/>
        <w:numPr>
          <w:ilvl w:val="1"/>
          <w:numId w:val="1"/>
        </w:numPr>
        <w:pBdr/>
        <w:shd w:val="clear" w:fill="auto"/>
        <w:spacing w:lineRule="auto" w:line="276" w:before="0" w:after="0"/>
        <w:ind w:hanging="363" w:left="720" w:right="0"/>
        <w:jc w:val="left"/>
        <w:rPr>
          <w:rFonts w:ascii="Arial" w:hAnsi="Arial" w:eastAsia="Arial" w:cs="Arial"/>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bookmarkStart w:id="18" w:name="_heading=h.74w36m60y71"/>
      <w:bookmarkEnd w:id="18"/>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Vendor shall (and shall ensure that all persons acting on its behalf and all Vendor Personnel shall) without delay and in any event within 5 business days, at </w:t>
      </w:r>
      <w:r>
        <w:rPr>
          <w:rFonts w:eastAsia="Arial" w:cs="Arial" w:ascii="Arial" w:hAnsi="Arial"/>
          <w:b w:val="false"/>
          <w:bCs w:val="false"/>
          <w:i w:val="false"/>
          <w:iCs w:val="false"/>
          <w:caps w:val="false"/>
          <w:smallCaps w:val="false"/>
          <w:strike w:val="false"/>
          <w:dstrike w:val="false"/>
          <w:color w:val="000000"/>
          <w:position w:val="0"/>
          <w:sz w:val="20"/>
          <w:sz w:val="20"/>
          <w:szCs w:val="20"/>
          <w:highlight w:val="yellow"/>
          <w:u w:val="none"/>
          <w:vertAlign w:val="baseline"/>
        </w:rPr>
        <w:t>Company’s</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written request, either certifiably delete or destroy in a secure and definite/irreversible manner or securely return all originals, copies, reproductions and summaries of </w:t>
      </w:r>
      <w:r>
        <w:rPr>
          <w:rFonts w:eastAsia="Arial" w:cs="Arial" w:ascii="Arial" w:hAnsi="Arial"/>
          <w:b w:val="false"/>
          <w:bCs w:val="false"/>
          <w:i w:val="false"/>
          <w:iCs w:val="false"/>
          <w:caps w:val="false"/>
          <w:smallCaps w:val="false"/>
          <w:strike w:val="false"/>
          <w:dstrike w:val="false"/>
          <w:color w:val="000000"/>
          <w:position w:val="0"/>
          <w:sz w:val="20"/>
          <w:sz w:val="20"/>
          <w:szCs w:val="20"/>
          <w:highlight w:val="yellow"/>
          <w:u w:val="none"/>
          <w:vertAlign w:val="baseline"/>
        </w:rPr>
        <w:t>Company</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Personal Data Processed by Vendor and its Subprocessors to </w:t>
      </w:r>
      <w:r>
        <w:rPr>
          <w:rFonts w:eastAsia="Arial" w:cs="Arial" w:ascii="Arial" w:hAnsi="Arial"/>
          <w:b w:val="false"/>
          <w:bCs w:val="false"/>
          <w:i w:val="false"/>
          <w:iCs w:val="false"/>
          <w:caps w:val="false"/>
          <w:smallCaps w:val="false"/>
          <w:strike w:val="false"/>
          <w:dstrike w:val="false"/>
          <w:color w:val="000000"/>
          <w:position w:val="0"/>
          <w:sz w:val="20"/>
          <w:sz w:val="20"/>
          <w:szCs w:val="20"/>
          <w:highlight w:val="yellow"/>
          <w:u w:val="none"/>
          <w:vertAlign w:val="baseline"/>
        </w:rPr>
        <w:t>Company</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in such form as </w:t>
      </w:r>
      <w:r>
        <w:rPr>
          <w:rFonts w:eastAsia="Arial" w:cs="Arial" w:ascii="Arial" w:hAnsi="Arial"/>
          <w:b w:val="false"/>
          <w:bCs w:val="false"/>
          <w:i w:val="false"/>
          <w:iCs w:val="false"/>
          <w:caps w:val="false"/>
          <w:smallCaps w:val="false"/>
          <w:strike w:val="false"/>
          <w:dstrike w:val="false"/>
          <w:color w:val="000000"/>
          <w:position w:val="0"/>
          <w:sz w:val="20"/>
          <w:sz w:val="20"/>
          <w:szCs w:val="20"/>
          <w:highlight w:val="yellow"/>
          <w:u w:val="none"/>
          <w:vertAlign w:val="baseline"/>
        </w:rPr>
        <w:t>Company</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reasonably requests after the earlier of:</w:t>
      </w:r>
    </w:p>
    <w:p>
      <w:pPr>
        <w:pStyle w:val="normal1"/>
        <w:keepNext w:val="false"/>
        <w:keepLines w:val="false"/>
        <w:pageBreakBefore w:val="false"/>
        <w:widowControl/>
        <w:numPr>
          <w:ilvl w:val="0"/>
          <w:numId w:val="6"/>
        </w:numPr>
        <w:pBdr/>
        <w:shd w:val="clear" w:fill="auto"/>
        <w:spacing w:lineRule="auto" w:line="276" w:before="0" w:after="0"/>
        <w:ind w:hanging="360" w:left="1077" w:right="0"/>
        <w:jc w:val="left"/>
        <w:rPr>
          <w:rFonts w:ascii="Arial" w:hAnsi="Arial" w:eastAsia="Arial" w:cs="Arial"/>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the end of the provision of the relevant Services related to Processing of such Protected Data; or </w:t>
      </w:r>
    </w:p>
    <w:p>
      <w:pPr>
        <w:pStyle w:val="normal1"/>
        <w:keepNext w:val="false"/>
        <w:keepLines w:val="false"/>
        <w:pageBreakBefore w:val="false"/>
        <w:widowControl/>
        <w:numPr>
          <w:ilvl w:val="0"/>
          <w:numId w:val="6"/>
        </w:numPr>
        <w:pBdr/>
        <w:shd w:val="clear" w:fill="auto"/>
        <w:spacing w:lineRule="auto" w:line="276" w:before="0" w:after="200"/>
        <w:ind w:hanging="360" w:left="1077" w:right="0"/>
        <w:jc w:val="left"/>
        <w:rPr>
          <w:rFonts w:ascii="Arial" w:hAnsi="Arial" w:eastAsia="Arial" w:cs="Arial"/>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once Processing by the Supplier of any Protected Data is no longer required for the purpose of the Supplier’s performance of its relevant obligations under this Agreement,</w:t>
      </w:r>
    </w:p>
    <w:p>
      <w:pPr>
        <w:pStyle w:val="normal1"/>
        <w:ind w:hanging="0" w:left="717"/>
        <w:rPr>
          <w:rFonts w:ascii="Arial" w:hAnsi="Arial" w:eastAsia="Arial" w:cs="Arial"/>
          <w:sz w:val="20"/>
          <w:szCs w:val="20"/>
        </w:rPr>
      </w:pPr>
      <w:r>
        <w:rPr>
          <w:rFonts w:eastAsia="Arial" w:cs="Arial" w:ascii="Arial" w:hAnsi="Arial"/>
          <w:sz w:val="20"/>
          <w:szCs w:val="20"/>
        </w:rPr>
        <w:t xml:space="preserve">and certifiably delete or destroy in a secure and definite/irreversible manner existing copies (unless storage of any data is required by applicable law and, if so, Vendor shall inform </w:t>
      </w:r>
      <w:r>
        <w:rPr>
          <w:rFonts w:eastAsia="Arial" w:cs="Arial" w:ascii="Arial" w:hAnsi="Arial"/>
          <w:sz w:val="20"/>
          <w:szCs w:val="20"/>
          <w:highlight w:val="yellow"/>
        </w:rPr>
        <w:t>Company</w:t>
      </w:r>
      <w:r>
        <w:rPr>
          <w:rFonts w:eastAsia="Arial" w:cs="Arial" w:ascii="Arial" w:hAnsi="Arial"/>
          <w:sz w:val="20"/>
          <w:szCs w:val="20"/>
        </w:rPr>
        <w:t xml:space="preserve"> of any such requirement). </w:t>
      </w:r>
    </w:p>
    <w:p>
      <w:pPr>
        <w:pStyle w:val="normal1"/>
        <w:keepNext w:val="false"/>
        <w:keepLines w:val="false"/>
        <w:pageBreakBefore w:val="false"/>
        <w:widowControl/>
        <w:numPr>
          <w:ilvl w:val="0"/>
          <w:numId w:val="1"/>
        </w:numPr>
        <w:pBdr/>
        <w:shd w:val="clear" w:fill="auto"/>
        <w:tabs>
          <w:tab w:val="left" w:pos="720" w:leader="none"/>
        </w:tabs>
        <w:spacing w:lineRule="auto" w:line="276" w:before="0" w:after="0"/>
        <w:ind w:hanging="363" w:left="720" w:right="0"/>
        <w:jc w:val="left"/>
        <w:rPr>
          <w:rFonts w:ascii="Arial" w:hAnsi="Arial" w:eastAsia="Arial" w:cs="Arial"/>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bCs/>
          <w:i w:val="false"/>
          <w:iCs w:val="false"/>
          <w:caps w:val="false"/>
          <w:smallCaps w:val="false"/>
          <w:strike w:val="false"/>
          <w:dstrike w:val="false"/>
          <w:color w:val="000000"/>
          <w:position w:val="0"/>
          <w:sz w:val="20"/>
          <w:sz w:val="20"/>
          <w:szCs w:val="20"/>
          <w:u w:val="none"/>
          <w:shd w:fill="auto" w:val="clear"/>
          <w:vertAlign w:val="baseline"/>
        </w:rPr>
        <w:t>INDEMNITY</w:t>
      </w:r>
    </w:p>
    <w:p>
      <w:pPr>
        <w:pStyle w:val="normal1"/>
        <w:keepNext w:val="false"/>
        <w:keepLines w:val="false"/>
        <w:pageBreakBefore w:val="false"/>
        <w:widowControl/>
        <w:numPr>
          <w:ilvl w:val="1"/>
          <w:numId w:val="1"/>
        </w:numPr>
        <w:pBdr/>
        <w:shd w:val="clear" w:fill="auto"/>
        <w:spacing w:lineRule="auto" w:line="276" w:before="0" w:after="0"/>
        <w:ind w:hanging="363" w:left="720" w:right="0"/>
        <w:jc w:val="left"/>
        <w:rPr>
          <w:rFonts w:ascii="Arial" w:hAnsi="Arial" w:eastAsia="Arial" w:cs="Arial"/>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bookmarkStart w:id="19" w:name="_heading=h.p1crgrddnj20"/>
      <w:bookmarkEnd w:id="19"/>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Vendor agrees to indemnify and keep indemnified, and defend at its own expense, </w:t>
      </w:r>
      <w:r>
        <w:rPr>
          <w:rFonts w:eastAsia="Arial" w:cs="Arial" w:ascii="Arial" w:hAnsi="Arial"/>
          <w:b w:val="false"/>
          <w:bCs w:val="false"/>
          <w:i w:val="false"/>
          <w:iCs w:val="false"/>
          <w:caps w:val="false"/>
          <w:smallCaps w:val="false"/>
          <w:strike w:val="false"/>
          <w:dstrike w:val="false"/>
          <w:color w:val="000000"/>
          <w:position w:val="0"/>
          <w:sz w:val="20"/>
          <w:sz w:val="20"/>
          <w:szCs w:val="20"/>
          <w:highlight w:val="yellow"/>
          <w:u w:val="none"/>
          <w:vertAlign w:val="baseline"/>
        </w:rPr>
        <w:t>Company</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against claims, damages or expenses incurred by </w:t>
      </w:r>
      <w:r>
        <w:rPr>
          <w:rFonts w:eastAsia="Arial" w:cs="Arial" w:ascii="Arial" w:hAnsi="Arial"/>
          <w:b w:val="false"/>
          <w:bCs w:val="false"/>
          <w:i w:val="false"/>
          <w:iCs w:val="false"/>
          <w:caps w:val="false"/>
          <w:smallCaps w:val="false"/>
          <w:strike w:val="false"/>
          <w:dstrike w:val="false"/>
          <w:color w:val="000000"/>
          <w:position w:val="0"/>
          <w:sz w:val="20"/>
          <w:sz w:val="20"/>
          <w:szCs w:val="20"/>
          <w:highlight w:val="yellow"/>
          <w:u w:val="none"/>
          <w:vertAlign w:val="baseline"/>
        </w:rPr>
        <w:t>Company</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or for which </w:t>
      </w:r>
      <w:r>
        <w:rPr>
          <w:rFonts w:eastAsia="Arial" w:cs="Arial" w:ascii="Arial" w:hAnsi="Arial"/>
          <w:b w:val="false"/>
          <w:bCs w:val="false"/>
          <w:i w:val="false"/>
          <w:iCs w:val="false"/>
          <w:caps w:val="false"/>
          <w:smallCaps w:val="false"/>
          <w:strike w:val="false"/>
          <w:dstrike w:val="false"/>
          <w:color w:val="000000"/>
          <w:position w:val="0"/>
          <w:sz w:val="20"/>
          <w:sz w:val="20"/>
          <w:szCs w:val="20"/>
          <w:highlight w:val="yellow"/>
          <w:u w:val="none"/>
          <w:vertAlign w:val="baseline"/>
        </w:rPr>
        <w:t>Company</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may become liable due to any failure by the Vendor or its employees or agents to comply with any of its obligations under this DPA. Liability is limited to the amount of </w:t>
      </w:r>
      <w:r>
        <w:rPr>
          <w:rFonts w:eastAsia="Arial" w:cs="Arial" w:ascii="Arial" w:hAnsi="Arial"/>
          <w:b w:val="false"/>
          <w:bCs w:val="false"/>
          <w:i w:val="false"/>
          <w:iCs w:val="false"/>
          <w:caps w:val="false"/>
          <w:smallCaps w:val="false"/>
          <w:strike w:val="false"/>
          <w:dstrike w:val="false"/>
          <w:color w:val="000000"/>
          <w:position w:val="0"/>
          <w:sz w:val="20"/>
          <w:sz w:val="20"/>
          <w:szCs w:val="20"/>
          <w:highlight w:val="yellow"/>
          <w:u w:val="none"/>
          <w:vertAlign w:val="baseline"/>
        </w:rPr>
        <w:t>Company’s</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average monthly payment for the Services.</w:t>
        <w:br/>
      </w:r>
    </w:p>
    <w:p>
      <w:pPr>
        <w:pStyle w:val="normal1"/>
        <w:keepNext w:val="false"/>
        <w:keepLines w:val="false"/>
        <w:pageBreakBefore w:val="false"/>
        <w:widowControl/>
        <w:numPr>
          <w:ilvl w:val="0"/>
          <w:numId w:val="1"/>
        </w:numPr>
        <w:pBdr/>
        <w:shd w:val="clear" w:fill="auto"/>
        <w:spacing w:lineRule="auto" w:line="276" w:before="0" w:after="0"/>
        <w:ind w:hanging="363" w:left="720" w:right="0"/>
        <w:jc w:val="left"/>
        <w:rPr>
          <w:rFonts w:ascii="Arial" w:hAnsi="Arial" w:eastAsia="Arial" w:cs="Arial"/>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bCs/>
          <w:i w:val="false"/>
          <w:iCs w:val="false"/>
          <w:caps w:val="false"/>
          <w:smallCaps w:val="false"/>
          <w:strike w:val="false"/>
          <w:dstrike w:val="false"/>
          <w:color w:val="000000"/>
          <w:position w:val="0"/>
          <w:sz w:val="20"/>
          <w:sz w:val="20"/>
          <w:szCs w:val="20"/>
          <w:u w:val="none"/>
          <w:shd w:fill="auto" w:val="clear"/>
          <w:vertAlign w:val="baseline"/>
        </w:rPr>
        <w:t xml:space="preserve">TRANSFER MECHANISMS </w:t>
      </w:r>
    </w:p>
    <w:p>
      <w:pPr>
        <w:pStyle w:val="normal1"/>
        <w:keepNext w:val="false"/>
        <w:keepLines w:val="false"/>
        <w:pageBreakBefore w:val="false"/>
        <w:widowControl/>
        <w:numPr>
          <w:ilvl w:val="1"/>
          <w:numId w:val="1"/>
        </w:numPr>
        <w:pBdr/>
        <w:shd w:val="clear" w:fill="auto"/>
        <w:spacing w:lineRule="auto" w:line="276" w:before="0" w:after="0"/>
        <w:ind w:hanging="363" w:left="720" w:right="0"/>
        <w:jc w:val="left"/>
        <w:rPr>
          <w:rFonts w:ascii="Arial" w:hAnsi="Arial" w:eastAsia="Arial" w:cs="Arial"/>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In the absence of an adequacy decision, </w:t>
      </w:r>
      <w:r>
        <w:rPr>
          <w:rFonts w:eastAsia="Arial" w:cs="Arial" w:ascii="Arial" w:hAnsi="Arial"/>
          <w:b w:val="false"/>
          <w:bCs w:val="false"/>
          <w:i w:val="false"/>
          <w:iCs w:val="false"/>
          <w:caps w:val="false"/>
          <w:smallCaps w:val="false"/>
          <w:strike w:val="false"/>
          <w:dstrike w:val="false"/>
          <w:color w:val="000000"/>
          <w:position w:val="0"/>
          <w:sz w:val="20"/>
          <w:sz w:val="20"/>
          <w:szCs w:val="20"/>
          <w:highlight w:val="yellow"/>
          <w:u w:val="none"/>
          <w:vertAlign w:val="baseline"/>
        </w:rPr>
        <w:t>Company</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Personal Data may only be transferred to a third county or an International Organisation outside the EEA where there are Appropriate Safeguards. Such transfer (and any onward transfer) shall:</w:t>
      </w:r>
    </w:p>
    <w:p>
      <w:pPr>
        <w:pStyle w:val="normal1"/>
        <w:keepNext w:val="false"/>
        <w:keepLines w:val="false"/>
        <w:pageBreakBefore w:val="false"/>
        <w:widowControl/>
        <w:numPr>
          <w:ilvl w:val="0"/>
          <w:numId w:val="5"/>
        </w:numPr>
        <w:pBdr/>
        <w:shd w:val="clear" w:fill="auto"/>
        <w:spacing w:lineRule="auto" w:line="276" w:before="0" w:after="0"/>
        <w:ind w:hanging="360" w:left="1496" w:right="0"/>
        <w:jc w:val="left"/>
        <w:rPr>
          <w:rFonts w:ascii="Arial" w:hAnsi="Arial" w:eastAsia="Arial" w:cs="Arial"/>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be pursuant to a written contract, including equivalent obligations on the Subprocessor in respect of </w:t>
      </w:r>
      <w:r>
        <w:rPr>
          <w:rFonts w:eastAsia="Arial" w:cs="Arial" w:ascii="Arial" w:hAnsi="Arial"/>
          <w:b w:val="false"/>
          <w:bCs w:val="false"/>
          <w:i w:val="false"/>
          <w:iCs w:val="false"/>
          <w:caps w:val="false"/>
          <w:smallCaps w:val="false"/>
          <w:strike w:val="false"/>
          <w:dstrike w:val="false"/>
          <w:color w:val="000000"/>
          <w:position w:val="0"/>
          <w:sz w:val="20"/>
          <w:sz w:val="20"/>
          <w:szCs w:val="20"/>
          <w:highlight w:val="yellow"/>
          <w:u w:val="none"/>
          <w:vertAlign w:val="baseline"/>
        </w:rPr>
        <w:t>Company</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Personal Data as apply to Vendor under this DPA;</w:t>
      </w:r>
    </w:p>
    <w:p>
      <w:pPr>
        <w:pStyle w:val="normal1"/>
        <w:keepNext w:val="false"/>
        <w:keepLines w:val="false"/>
        <w:pageBreakBefore w:val="false"/>
        <w:widowControl/>
        <w:numPr>
          <w:ilvl w:val="0"/>
          <w:numId w:val="5"/>
        </w:numPr>
        <w:pBdr/>
        <w:shd w:val="clear" w:fill="auto"/>
        <w:spacing w:lineRule="auto" w:line="276" w:before="0" w:after="0"/>
        <w:ind w:hanging="360" w:left="1496" w:right="0"/>
        <w:jc w:val="left"/>
        <w:rPr>
          <w:rFonts w:ascii="Arial" w:hAnsi="Arial" w:eastAsia="Arial" w:cs="Arial"/>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is effected by way of Appropriate Safeguards and, where practicable, the form of these shall be subject to Company’s prior written approval;</w:t>
      </w:r>
    </w:p>
    <w:p>
      <w:pPr>
        <w:pStyle w:val="normal1"/>
        <w:keepNext w:val="false"/>
        <w:keepLines w:val="false"/>
        <w:pageBreakBefore w:val="false"/>
        <w:widowControl/>
        <w:numPr>
          <w:ilvl w:val="0"/>
          <w:numId w:val="5"/>
        </w:numPr>
        <w:pBdr/>
        <w:shd w:val="clear" w:fill="auto"/>
        <w:spacing w:lineRule="auto" w:line="276" w:before="0" w:after="0"/>
        <w:ind w:hanging="360" w:left="1496" w:right="0"/>
        <w:jc w:val="left"/>
        <w:rPr>
          <w:rFonts w:ascii="Arial" w:hAnsi="Arial" w:eastAsia="Arial" w:cs="Arial"/>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otherwise complies with applicable data protection laws.</w:t>
      </w:r>
    </w:p>
    <w:p>
      <w:pPr>
        <w:pStyle w:val="normal1"/>
        <w:keepNext w:val="false"/>
        <w:keepLines w:val="false"/>
        <w:pageBreakBefore w:val="false"/>
        <w:widowControl/>
        <w:numPr>
          <w:ilvl w:val="1"/>
          <w:numId w:val="7"/>
        </w:numPr>
        <w:pBdr/>
        <w:shd w:val="clear" w:fill="auto"/>
        <w:spacing w:lineRule="auto" w:line="276" w:before="0" w:after="200"/>
        <w:ind w:hanging="425" w:left="851" w:right="0"/>
        <w:jc w:val="left"/>
        <w:rPr>
          <w:rFonts w:ascii="Arial" w:hAnsi="Arial" w:eastAsia="Arial" w:cs="Arial"/>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Where the Appropriate Safeguards consist of Standard Contractual Clauses, the Vendor shall ensure that such transfers are carried out on the basis of the Standard Contractual Clauses adopted by the European Commission in Implementing Decision (EU) 2021/914 (in particular Module 2 – Controller to Processor and, where applicable, Module 3 – Processor to Processor) and that any Subprocessor located outside the EEA enters into such Standard Contractual Clauses with the Vendor (or directly with the Company, where required).</w:t>
      </w:r>
    </w:p>
    <w:p>
      <w:pPr>
        <w:pStyle w:val="normal1"/>
        <w:rPr>
          <w:rFonts w:ascii="Arial" w:hAnsi="Arial" w:eastAsia="Arial" w:cs="Arial"/>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normal1"/>
        <w:rPr>
          <w:rFonts w:ascii="Arial" w:hAnsi="Arial" w:eastAsia="Arial" w:cs="Arial"/>
          <w:b/>
          <w:bCs/>
          <w:sz w:val="20"/>
          <w:szCs w:val="20"/>
        </w:rPr>
      </w:pPr>
      <w:r>
        <w:rPr>
          <w:rFonts w:eastAsia="Arial" w:cs="Arial" w:ascii="Arial" w:hAnsi="Arial"/>
          <w:b/>
          <w:bCs/>
          <w:sz w:val="20"/>
          <w:szCs w:val="20"/>
        </w:rPr>
      </w:r>
    </w:p>
    <w:p>
      <w:pPr>
        <w:pStyle w:val="normal1"/>
        <w:rPr>
          <w:rFonts w:ascii="Arial" w:hAnsi="Arial" w:eastAsia="Arial" w:cs="Arial"/>
          <w:b/>
          <w:bCs/>
          <w:sz w:val="20"/>
          <w:szCs w:val="20"/>
        </w:rPr>
      </w:pPr>
      <w:r>
        <w:rPr>
          <w:rFonts w:eastAsia="Arial" w:cs="Arial" w:ascii="Arial" w:hAnsi="Arial"/>
          <w:b/>
          <w:bCs/>
          <w:sz w:val="20"/>
          <w:szCs w:val="20"/>
        </w:rPr>
        <w:t>GENERAL TERMS</w:t>
      </w:r>
    </w:p>
    <w:p>
      <w:pPr>
        <w:pStyle w:val="normal1"/>
        <w:keepNext w:val="false"/>
        <w:keepLines w:val="false"/>
        <w:pageBreakBefore w:val="false"/>
        <w:widowControl/>
        <w:numPr>
          <w:ilvl w:val="0"/>
          <w:numId w:val="1"/>
        </w:numPr>
        <w:pBdr/>
        <w:shd w:val="clear" w:fill="auto"/>
        <w:spacing w:lineRule="auto" w:line="276" w:before="0" w:after="0"/>
        <w:ind w:hanging="363" w:left="720" w:right="0"/>
        <w:jc w:val="left"/>
        <w:rPr>
          <w:rFonts w:ascii="Arial" w:hAnsi="Arial" w:eastAsia="Arial" w:cs="Arial"/>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bCs/>
          <w:i w:val="false"/>
          <w:iCs w:val="false"/>
          <w:caps w:val="false"/>
          <w:smallCaps w:val="false"/>
          <w:strike w:val="false"/>
          <w:dstrike w:val="false"/>
          <w:color w:val="000000"/>
          <w:position w:val="0"/>
          <w:sz w:val="20"/>
          <w:sz w:val="20"/>
          <w:szCs w:val="20"/>
          <w:u w:val="none"/>
          <w:shd w:fill="auto" w:val="clear"/>
          <w:vertAlign w:val="baseline"/>
        </w:rPr>
        <w:t>Warranty as to Authority</w:t>
      </w:r>
    </w:p>
    <w:p>
      <w:pPr>
        <w:pStyle w:val="normal1"/>
        <w:keepNext w:val="false"/>
        <w:keepLines w:val="false"/>
        <w:pageBreakBefore w:val="false"/>
        <w:widowControl/>
        <w:numPr>
          <w:ilvl w:val="1"/>
          <w:numId w:val="1"/>
        </w:numPr>
        <w:pBdr/>
        <w:shd w:val="clear" w:fill="auto"/>
        <w:spacing w:lineRule="auto" w:line="276" w:before="0" w:after="0"/>
        <w:ind w:hanging="363" w:left="720" w:right="0"/>
        <w:jc w:val="left"/>
        <w:rPr>
          <w:rFonts w:ascii="Arial" w:hAnsi="Arial" w:eastAsia="Arial" w:cs="Arial"/>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Each person signing this DPA hereby represents and warrants that he or she has full authority to execute this Agreement for the Party on whose behalf he or she is signing.</w:t>
        <w:br/>
      </w:r>
    </w:p>
    <w:p>
      <w:pPr>
        <w:pStyle w:val="normal1"/>
        <w:keepNext w:val="false"/>
        <w:keepLines w:val="false"/>
        <w:pageBreakBefore w:val="false"/>
        <w:widowControl/>
        <w:numPr>
          <w:ilvl w:val="0"/>
          <w:numId w:val="1"/>
        </w:numPr>
        <w:pBdr/>
        <w:shd w:val="clear" w:fill="auto"/>
        <w:spacing w:lineRule="auto" w:line="276" w:before="0" w:after="0"/>
        <w:ind w:hanging="363" w:left="720" w:right="0"/>
        <w:jc w:val="left"/>
        <w:rPr>
          <w:rFonts w:ascii="Arial" w:hAnsi="Arial" w:eastAsia="Arial" w:cs="Arial"/>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bCs/>
          <w:i w:val="false"/>
          <w:iCs w:val="false"/>
          <w:caps w:val="false"/>
          <w:smallCaps w:val="false"/>
          <w:strike w:val="false"/>
          <w:dstrike w:val="false"/>
          <w:color w:val="000000"/>
          <w:position w:val="0"/>
          <w:sz w:val="20"/>
          <w:sz w:val="20"/>
          <w:szCs w:val="20"/>
          <w:u w:val="none"/>
          <w:shd w:fill="auto" w:val="clear"/>
          <w:vertAlign w:val="baseline"/>
        </w:rPr>
        <w:t>Governing Law and Jurisdiction</w:t>
      </w:r>
    </w:p>
    <w:p>
      <w:pPr>
        <w:pStyle w:val="normal1"/>
        <w:keepNext w:val="false"/>
        <w:keepLines w:val="false"/>
        <w:pageBreakBefore w:val="false"/>
        <w:widowControl/>
        <w:numPr>
          <w:ilvl w:val="1"/>
          <w:numId w:val="1"/>
        </w:numPr>
        <w:pBdr/>
        <w:shd w:val="clear" w:fill="auto"/>
        <w:tabs>
          <w:tab w:val="left" w:pos="720" w:leader="none"/>
          <w:tab w:val="left" w:pos="1800" w:leader="none"/>
        </w:tabs>
        <w:spacing w:lineRule="auto" w:line="276" w:before="0" w:after="0"/>
        <w:ind w:hanging="363" w:left="720" w:right="0"/>
        <w:jc w:val="left"/>
        <w:rPr>
          <w:rFonts w:ascii="Arial" w:hAnsi="Arial" w:eastAsia="Arial" w:cs="Arial"/>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bookmarkStart w:id="20" w:name="_heading=h.jpu4vlgt53ag"/>
      <w:bookmarkEnd w:id="20"/>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Without prejudice to clauses 17 (Governing law) and 18 (Choice of forum and jurisdiction) of the Standard Contractual Clauses: the Parties to this DPA hereby submit to Slovak courts, including disputes regarding its existence, validity or termination or the consequences of its nullity; and this DPA and all non-contractual or other obligations arising out of or in connection with it are governed by the laws of Slovakia.</w:t>
      </w:r>
      <w:r>
        <w:rPr>
          <w:rFonts w:eastAsia="Arial" w:cs="Arial" w:ascii="Arial" w:hAnsi="Arial"/>
          <w:b w:val="false"/>
          <w:bCs w:val="false"/>
          <w:i/>
          <w:iCs/>
          <w:caps w:val="false"/>
          <w:smallCaps w:val="false"/>
          <w:strike w:val="false"/>
          <w:dstrike w:val="false"/>
          <w:color w:val="000000"/>
          <w:sz w:val="20"/>
          <w:szCs w:val="20"/>
          <w:u w:val="none"/>
          <w:shd w:fill="auto" w:val="clear"/>
          <w:vertAlign w:val="superscript"/>
        </w:rPr>
        <w:t xml:space="preserve"> </w:t>
      </w:r>
    </w:p>
    <w:p>
      <w:pPr>
        <w:pStyle w:val="normal1"/>
        <w:keepNext w:val="false"/>
        <w:keepLines w:val="false"/>
        <w:pageBreakBefore w:val="false"/>
        <w:widowControl/>
        <w:pBdr/>
        <w:shd w:val="clear" w:fill="auto"/>
        <w:tabs>
          <w:tab w:val="clear" w:pos="720"/>
          <w:tab w:val="left" w:pos="1800" w:leader="none"/>
        </w:tabs>
        <w:spacing w:lineRule="auto" w:line="276" w:before="0" w:after="0"/>
        <w:ind w:hanging="0" w:left="720" w:right="0"/>
        <w:jc w:val="left"/>
        <w:rPr>
          <w:rFonts w:ascii="Arial" w:hAnsi="Arial" w:eastAsia="Arial" w:cs="Arial"/>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normal1"/>
        <w:keepNext w:val="false"/>
        <w:keepLines w:val="false"/>
        <w:pageBreakBefore w:val="false"/>
        <w:widowControl/>
        <w:numPr>
          <w:ilvl w:val="0"/>
          <w:numId w:val="1"/>
        </w:numPr>
        <w:pBdr/>
        <w:shd w:val="clear" w:fill="auto"/>
        <w:spacing w:lineRule="auto" w:line="276" w:before="0" w:after="0"/>
        <w:ind w:hanging="363" w:left="720" w:right="0"/>
        <w:jc w:val="left"/>
        <w:rPr>
          <w:rFonts w:ascii="Arial" w:hAnsi="Arial" w:eastAsia="Arial" w:cs="Arial"/>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bCs/>
          <w:i w:val="false"/>
          <w:iCs w:val="false"/>
          <w:caps w:val="false"/>
          <w:smallCaps w:val="false"/>
          <w:strike w:val="false"/>
          <w:dstrike w:val="false"/>
          <w:color w:val="000000"/>
          <w:position w:val="0"/>
          <w:sz w:val="20"/>
          <w:sz w:val="20"/>
          <w:szCs w:val="20"/>
          <w:u w:val="none"/>
          <w:shd w:fill="auto" w:val="clear"/>
          <w:vertAlign w:val="baseline"/>
        </w:rPr>
        <w:t>Order Of Precedence</w:t>
      </w:r>
    </w:p>
    <w:p>
      <w:pPr>
        <w:pStyle w:val="normal1"/>
        <w:keepNext w:val="false"/>
        <w:keepLines w:val="false"/>
        <w:pageBreakBefore w:val="false"/>
        <w:widowControl/>
        <w:numPr>
          <w:ilvl w:val="1"/>
          <w:numId w:val="1"/>
        </w:numPr>
        <w:pBdr/>
        <w:shd w:val="clear" w:fill="auto"/>
        <w:tabs>
          <w:tab w:val="left" w:pos="720" w:leader="none"/>
        </w:tabs>
        <w:spacing w:lineRule="auto" w:line="276" w:before="0" w:after="0"/>
        <w:ind w:hanging="363" w:left="720" w:right="0"/>
        <w:jc w:val="left"/>
        <w:rPr>
          <w:rFonts w:ascii="Arial" w:hAnsi="Arial" w:eastAsia="Arial" w:cs="Arial"/>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bookmarkStart w:id="21" w:name="_heading=h.qlqsrqesidgq"/>
      <w:bookmarkEnd w:id="21"/>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Nothing in this DPA reduces Vendor's obligations under the Principal Agreement in relation to the protection of Personal Data or permits Vendor to Process (or permit the Processing of) Personal Data in a manner which is prohibited by the Principal Agreement. In the event of any conflict or inconsistency between this DPA and the Standard Contractual Clauses, the Standard Contractual Clauses shall prevail.</w:t>
      </w:r>
    </w:p>
    <w:p>
      <w:pPr>
        <w:pStyle w:val="normal1"/>
        <w:keepNext w:val="false"/>
        <w:keepLines w:val="false"/>
        <w:pageBreakBefore w:val="false"/>
        <w:widowControl/>
        <w:pBdr/>
        <w:shd w:val="clear" w:fill="auto"/>
        <w:spacing w:lineRule="auto" w:line="276" w:before="0" w:after="200"/>
        <w:ind w:hanging="0" w:left="720" w:right="0"/>
        <w:jc w:val="left"/>
        <w:rPr>
          <w:rFonts w:ascii="Arial" w:hAnsi="Arial" w:eastAsia="Arial" w:cs="Arial"/>
          <w:b w:val="false"/>
          <w:bCs w:val="false"/>
          <w:i/>
          <w:i/>
          <w:iCs/>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bCs w:val="false"/>
          <w:i/>
          <w:iCs/>
          <w:caps w:val="false"/>
          <w:smallCaps w:val="false"/>
          <w:strike w:val="false"/>
          <w:dstrike w:val="false"/>
          <w:color w:val="000000"/>
          <w:position w:val="0"/>
          <w:sz w:val="20"/>
          <w:sz w:val="20"/>
          <w:szCs w:val="20"/>
          <w:u w:val="none"/>
          <w:shd w:fill="auto" w:val="clear"/>
          <w:vertAlign w:val="baseline"/>
        </w:rPr>
      </w:r>
    </w:p>
    <w:p>
      <w:pPr>
        <w:pStyle w:val="normal1"/>
        <w:rPr>
          <w:rFonts w:ascii="Arial" w:hAnsi="Arial" w:eastAsia="Arial" w:cs="Arial"/>
          <w:sz w:val="20"/>
          <w:szCs w:val="20"/>
        </w:rPr>
      </w:pPr>
      <w:r>
        <w:rPr>
          <w:rFonts w:eastAsia="Arial" w:cs="Arial" w:ascii="Arial" w:hAnsi="Arial"/>
          <w:sz w:val="20"/>
          <w:szCs w:val="20"/>
        </w:rPr>
      </w:r>
    </w:p>
    <w:p>
      <w:pPr>
        <w:pStyle w:val="normal1"/>
        <w:rPr>
          <w:rFonts w:ascii="Arial" w:hAnsi="Arial" w:eastAsia="Arial" w:cs="Arial"/>
          <w:sz w:val="20"/>
          <w:szCs w:val="20"/>
        </w:rPr>
      </w:pPr>
      <w:r>
        <w:rPr>
          <w:rFonts w:eastAsia="Arial" w:cs="Arial" w:ascii="Arial" w:hAnsi="Arial"/>
          <w:sz w:val="20"/>
          <w:szCs w:val="20"/>
        </w:rPr>
        <w:t>IN WITNESS WHEREOF, this DPA is entered into and becomes a binding part of the Principal Agreement with effect from the date first set out above, save for the provisions introduced by the GDPR that shall only become effective from 25</w:t>
      </w:r>
      <w:r>
        <w:rPr>
          <w:rFonts w:eastAsia="Arial" w:cs="Arial" w:ascii="Arial" w:hAnsi="Arial"/>
          <w:sz w:val="20"/>
          <w:szCs w:val="20"/>
          <w:vertAlign w:val="superscript"/>
        </w:rPr>
        <w:t>th</w:t>
      </w:r>
      <w:r>
        <w:rPr>
          <w:rFonts w:eastAsia="Arial" w:cs="Arial" w:ascii="Arial" w:hAnsi="Arial"/>
          <w:sz w:val="20"/>
          <w:szCs w:val="20"/>
        </w:rPr>
        <w:t xml:space="preserve"> May 2018.</w:t>
      </w:r>
    </w:p>
    <w:p>
      <w:pPr>
        <w:pStyle w:val="normal1"/>
        <w:rPr>
          <w:rFonts w:ascii="Arial" w:hAnsi="Arial" w:eastAsia="Arial" w:cs="Arial"/>
          <w:b/>
          <w:bCs/>
          <w:sz w:val="20"/>
          <w:szCs w:val="20"/>
        </w:rPr>
      </w:pPr>
      <w:r>
        <w:rPr>
          <w:rFonts w:eastAsia="Arial" w:cs="Arial" w:ascii="Arial" w:hAnsi="Arial"/>
          <w:b/>
          <w:bCs/>
          <w:sz w:val="20"/>
          <w:szCs w:val="20"/>
        </w:rPr>
        <w:t>[</w:t>
      </w:r>
      <w:r>
        <w:rPr>
          <w:rFonts w:eastAsia="Arial" w:cs="Arial" w:ascii="Arial" w:hAnsi="Arial"/>
          <w:b/>
          <w:bCs/>
          <w:sz w:val="20"/>
          <w:szCs w:val="20"/>
          <w:highlight w:val="yellow"/>
        </w:rPr>
        <w:t>Company</w:t>
      </w:r>
      <w:r>
        <w:rPr>
          <w:rFonts w:eastAsia="Arial" w:cs="Arial" w:ascii="Arial" w:hAnsi="Arial"/>
          <w:b/>
          <w:bCs/>
          <w:sz w:val="20"/>
          <w:szCs w:val="20"/>
        </w:rPr>
        <w:t>]</w:t>
      </w:r>
    </w:p>
    <w:p>
      <w:pPr>
        <w:pStyle w:val="normal1"/>
        <w:rPr>
          <w:rFonts w:ascii="Arial" w:hAnsi="Arial" w:eastAsia="Arial" w:cs="Arial"/>
          <w:sz w:val="20"/>
          <w:szCs w:val="20"/>
        </w:rPr>
      </w:pPr>
      <w:r>
        <w:rPr>
          <w:rFonts w:eastAsia="Arial" w:cs="Arial" w:ascii="Arial" w:hAnsi="Arial"/>
          <w:sz w:val="20"/>
          <w:szCs w:val="20"/>
        </w:rPr>
        <w:br/>
        <w:t>Signature ______________________________</w:t>
      </w:r>
    </w:p>
    <w:p>
      <w:pPr>
        <w:pStyle w:val="normal1"/>
        <w:rPr>
          <w:rFonts w:ascii="Arial" w:hAnsi="Arial" w:eastAsia="Arial" w:cs="Arial"/>
          <w:sz w:val="20"/>
          <w:szCs w:val="20"/>
        </w:rPr>
      </w:pPr>
      <w:r>
        <w:rPr>
          <w:rFonts w:eastAsia="Arial" w:cs="Arial" w:ascii="Arial" w:hAnsi="Arial"/>
          <w:sz w:val="20"/>
          <w:szCs w:val="20"/>
        </w:rPr>
        <w:t>Name _________________________________</w:t>
      </w:r>
    </w:p>
    <w:p>
      <w:pPr>
        <w:pStyle w:val="normal1"/>
        <w:rPr>
          <w:rFonts w:ascii="Arial" w:hAnsi="Arial" w:eastAsia="Arial" w:cs="Arial"/>
          <w:sz w:val="20"/>
          <w:szCs w:val="20"/>
        </w:rPr>
      </w:pPr>
      <w:r>
        <w:rPr>
          <w:rFonts w:eastAsia="Arial" w:cs="Arial" w:ascii="Arial" w:hAnsi="Arial"/>
          <w:sz w:val="20"/>
          <w:szCs w:val="20"/>
        </w:rPr>
        <w:t>Title __________________________________</w:t>
      </w:r>
    </w:p>
    <w:p>
      <w:pPr>
        <w:pStyle w:val="normal1"/>
        <w:rPr>
          <w:rFonts w:ascii="Arial" w:hAnsi="Arial" w:eastAsia="Arial" w:cs="Arial"/>
          <w:sz w:val="20"/>
          <w:szCs w:val="20"/>
        </w:rPr>
      </w:pPr>
      <w:r>
        <w:rPr>
          <w:rFonts w:eastAsia="Arial" w:cs="Arial" w:ascii="Arial" w:hAnsi="Arial"/>
          <w:sz w:val="20"/>
          <w:szCs w:val="20"/>
        </w:rPr>
        <w:t>Date Signed ____________________________</w:t>
      </w:r>
    </w:p>
    <w:p>
      <w:pPr>
        <w:pStyle w:val="normal1"/>
        <w:rPr>
          <w:rFonts w:ascii="Arial" w:hAnsi="Arial" w:eastAsia="Arial" w:cs="Arial"/>
          <w:sz w:val="20"/>
          <w:szCs w:val="20"/>
        </w:rPr>
      </w:pPr>
      <w:r>
        <w:rPr>
          <w:rFonts w:eastAsia="Arial" w:cs="Arial" w:ascii="Arial" w:hAnsi="Arial"/>
          <w:sz w:val="20"/>
          <w:szCs w:val="20"/>
        </w:rPr>
      </w:r>
    </w:p>
    <w:p>
      <w:pPr>
        <w:pStyle w:val="normal1"/>
        <w:rPr>
          <w:rFonts w:ascii="Arial" w:hAnsi="Arial" w:eastAsia="Arial" w:cs="Arial"/>
          <w:b/>
          <w:bCs/>
          <w:sz w:val="20"/>
          <w:szCs w:val="20"/>
        </w:rPr>
      </w:pPr>
      <w:r>
        <w:rPr>
          <w:rFonts w:eastAsia="Arial" w:cs="Arial" w:ascii="Arial" w:hAnsi="Arial"/>
          <w:b/>
          <w:bCs/>
          <w:sz w:val="20"/>
          <w:szCs w:val="20"/>
        </w:rPr>
        <w:t>Quality Unit, s.r.o.</w:t>
      </w:r>
    </w:p>
    <w:p>
      <w:pPr>
        <w:pStyle w:val="normal1"/>
        <w:rPr>
          <w:rFonts w:ascii="Arial" w:hAnsi="Arial" w:eastAsia="Arial" w:cs="Arial"/>
          <w:sz w:val="20"/>
          <w:szCs w:val="20"/>
        </w:rPr>
      </w:pPr>
      <w:r>
        <w:rPr>
          <w:rFonts w:eastAsia="Arial" w:cs="Arial" w:ascii="Arial" w:hAnsi="Arial"/>
          <w:sz w:val="20"/>
          <w:szCs w:val="20"/>
        </w:rPr>
        <w:br/>
        <w:t>Signature ______________________________</w:t>
      </w:r>
    </w:p>
    <w:p>
      <w:pPr>
        <w:pStyle w:val="normal1"/>
        <w:rPr>
          <w:rFonts w:ascii="Arial" w:hAnsi="Arial" w:eastAsia="Arial" w:cs="Arial"/>
          <w:sz w:val="20"/>
          <w:szCs w:val="20"/>
        </w:rPr>
      </w:pPr>
      <w:r>
        <w:rPr>
          <w:rFonts w:eastAsia="Arial" w:cs="Arial" w:ascii="Arial" w:hAnsi="Arial"/>
          <w:sz w:val="20"/>
          <w:szCs w:val="20"/>
        </w:rPr>
        <w:t>Name: Andrej Harsani</w:t>
      </w:r>
    </w:p>
    <w:p>
      <w:pPr>
        <w:pStyle w:val="normal1"/>
        <w:rPr>
          <w:rFonts w:ascii="Arial" w:hAnsi="Arial" w:eastAsia="Arial" w:cs="Arial"/>
          <w:sz w:val="20"/>
          <w:szCs w:val="20"/>
        </w:rPr>
      </w:pPr>
      <w:r>
        <w:rPr>
          <w:rFonts w:eastAsia="Arial" w:cs="Arial" w:ascii="Arial" w:hAnsi="Arial"/>
          <w:sz w:val="20"/>
          <w:szCs w:val="20"/>
        </w:rPr>
        <w:t>Title CEO</w:t>
      </w:r>
    </w:p>
    <w:p>
      <w:pPr>
        <w:pStyle w:val="normal1"/>
        <w:rPr>
          <w:rFonts w:ascii="Arial" w:hAnsi="Arial" w:eastAsia="Arial" w:cs="Arial"/>
          <w:sz w:val="20"/>
          <w:szCs w:val="20"/>
        </w:rPr>
      </w:pPr>
      <w:r>
        <w:rPr>
          <w:rFonts w:eastAsia="Arial" w:cs="Arial" w:ascii="Arial" w:hAnsi="Arial"/>
          <w:sz w:val="20"/>
          <w:szCs w:val="20"/>
        </w:rPr>
        <w:t>Date Signed ____________________________</w:t>
      </w:r>
    </w:p>
    <w:p>
      <w:pPr>
        <w:pStyle w:val="normal1"/>
        <w:rPr>
          <w:rFonts w:ascii="Arial" w:hAnsi="Arial" w:eastAsia="Arial" w:cs="Arial"/>
          <w:sz w:val="20"/>
          <w:szCs w:val="20"/>
        </w:rPr>
      </w:pPr>
      <w:r>
        <w:rPr>
          <w:rFonts w:eastAsia="Arial" w:cs="Arial" w:ascii="Arial" w:hAnsi="Arial"/>
          <w:sz w:val="20"/>
          <w:szCs w:val="20"/>
        </w:rPr>
      </w:r>
      <w:r>
        <w:br w:type="page"/>
      </w:r>
    </w:p>
    <w:p>
      <w:pPr>
        <w:pStyle w:val="normal1"/>
        <w:spacing w:before="0" w:after="200"/>
        <w:rPr>
          <w:rFonts w:ascii="Arial" w:hAnsi="Arial" w:eastAsia="Arial" w:cs="Arial"/>
          <w:b/>
          <w:bCs/>
          <w:sz w:val="20"/>
          <w:szCs w:val="20"/>
        </w:rPr>
      </w:pPr>
      <w:r>
        <w:rPr>
          <w:rFonts w:eastAsia="Arial" w:cs="Arial" w:ascii="Arial" w:hAnsi="Arial"/>
          <w:b/>
          <w:bCs/>
          <w:sz w:val="20"/>
          <w:szCs w:val="20"/>
        </w:rPr>
        <w:t xml:space="preserve">ANNEX: DETAILS OF PROCESSING OF </w:t>
      </w:r>
      <w:r>
        <w:rPr>
          <w:rFonts w:eastAsia="Arial" w:cs="Arial" w:ascii="Arial" w:hAnsi="Arial"/>
          <w:b/>
          <w:bCs/>
          <w:sz w:val="20"/>
          <w:szCs w:val="20"/>
          <w:highlight w:val="yellow"/>
        </w:rPr>
        <w:t>COMPANY</w:t>
      </w:r>
      <w:r>
        <w:rPr>
          <w:rFonts w:eastAsia="Arial" w:cs="Arial" w:ascii="Arial" w:hAnsi="Arial"/>
          <w:b/>
          <w:bCs/>
          <w:sz w:val="20"/>
          <w:szCs w:val="20"/>
        </w:rPr>
        <w:t xml:space="preserve"> PERSONAL DATA</w:t>
      </w:r>
    </w:p>
    <w:p>
      <w:pPr>
        <w:pStyle w:val="normal1"/>
        <w:rPr>
          <w:rFonts w:ascii="Arial" w:hAnsi="Arial" w:eastAsia="Arial" w:cs="Arial"/>
          <w:sz w:val="20"/>
          <w:szCs w:val="20"/>
        </w:rPr>
      </w:pPr>
      <w:r>
        <w:rPr>
          <w:rFonts w:eastAsia="Arial" w:cs="Arial" w:ascii="Arial" w:hAnsi="Arial"/>
          <w:sz w:val="20"/>
          <w:szCs w:val="20"/>
        </w:rPr>
        <w:t xml:space="preserve">This Annex  includes certain details of the Processing of </w:t>
      </w:r>
      <w:r>
        <w:rPr>
          <w:rFonts w:eastAsia="Arial" w:cs="Arial" w:ascii="Arial" w:hAnsi="Arial"/>
          <w:sz w:val="20"/>
          <w:szCs w:val="20"/>
          <w:highlight w:val="yellow"/>
        </w:rPr>
        <w:t>Company</w:t>
      </w:r>
      <w:r>
        <w:rPr>
          <w:rFonts w:eastAsia="Arial" w:cs="Arial" w:ascii="Arial" w:hAnsi="Arial"/>
          <w:sz w:val="20"/>
          <w:szCs w:val="20"/>
        </w:rPr>
        <w:t xml:space="preserve"> Personal Data as required by Article 28(3) GDPR.</w:t>
      </w:r>
    </w:p>
    <w:p>
      <w:pPr>
        <w:pStyle w:val="normal1"/>
        <w:rPr>
          <w:rFonts w:ascii="Arial" w:hAnsi="Arial" w:eastAsia="Arial" w:cs="Arial"/>
          <w:i/>
          <w:i/>
          <w:iCs/>
          <w:sz w:val="20"/>
          <w:szCs w:val="20"/>
        </w:rPr>
      </w:pPr>
      <w:r>
        <w:rPr>
          <w:rFonts w:eastAsia="Arial" w:cs="Arial" w:ascii="Arial" w:hAnsi="Arial"/>
          <w:i/>
          <w:iCs/>
          <w:sz w:val="20"/>
          <w:szCs w:val="20"/>
        </w:rPr>
        <w:t xml:space="preserve">Subject matter and duration of the Processing of </w:t>
      </w:r>
      <w:r>
        <w:rPr>
          <w:rFonts w:eastAsia="Arial" w:cs="Arial" w:ascii="Arial" w:hAnsi="Arial"/>
          <w:i/>
          <w:iCs/>
          <w:sz w:val="20"/>
          <w:szCs w:val="20"/>
          <w:highlight w:val="yellow"/>
        </w:rPr>
        <w:t>Company</w:t>
      </w:r>
      <w:r>
        <w:rPr>
          <w:rFonts w:eastAsia="Arial" w:cs="Arial" w:ascii="Arial" w:hAnsi="Arial"/>
          <w:i/>
          <w:iCs/>
          <w:sz w:val="20"/>
          <w:szCs w:val="20"/>
        </w:rPr>
        <w:t xml:space="preserve"> Personal Data</w:t>
      </w:r>
    </w:p>
    <w:p>
      <w:pPr>
        <w:pStyle w:val="normal1"/>
        <w:rPr>
          <w:rFonts w:ascii="Arial" w:hAnsi="Arial" w:eastAsia="Arial" w:cs="Arial"/>
          <w:sz w:val="20"/>
          <w:szCs w:val="20"/>
        </w:rPr>
      </w:pPr>
      <w:r>
        <w:rPr>
          <w:rFonts w:eastAsia="Arial" w:cs="Arial" w:ascii="Arial" w:hAnsi="Arial"/>
          <w:sz w:val="20"/>
          <w:szCs w:val="20"/>
        </w:rPr>
        <w:t xml:space="preserve">The subject matter and duration of the Processing of the </w:t>
      </w:r>
      <w:r>
        <w:rPr>
          <w:rFonts w:eastAsia="Arial" w:cs="Arial" w:ascii="Arial" w:hAnsi="Arial"/>
          <w:sz w:val="20"/>
          <w:szCs w:val="20"/>
          <w:highlight w:val="yellow"/>
        </w:rPr>
        <w:t>Company</w:t>
      </w:r>
      <w:r>
        <w:rPr>
          <w:rFonts w:eastAsia="Arial" w:cs="Arial" w:ascii="Arial" w:hAnsi="Arial"/>
          <w:sz w:val="20"/>
          <w:szCs w:val="20"/>
        </w:rPr>
        <w:t xml:space="preserve"> Personal Data are set out in the Principal Agreement and this DPA.</w:t>
      </w:r>
    </w:p>
    <w:p>
      <w:pPr>
        <w:pStyle w:val="normal1"/>
        <w:rPr>
          <w:rFonts w:ascii="Arial" w:hAnsi="Arial" w:eastAsia="Arial" w:cs="Arial"/>
          <w:i/>
          <w:i/>
          <w:iCs/>
          <w:sz w:val="20"/>
          <w:szCs w:val="20"/>
        </w:rPr>
      </w:pPr>
      <w:r>
        <w:rPr>
          <w:rFonts w:eastAsia="Arial" w:cs="Arial" w:ascii="Arial" w:hAnsi="Arial"/>
          <w:i/>
          <w:iCs/>
          <w:sz w:val="20"/>
          <w:szCs w:val="20"/>
        </w:rPr>
        <w:t xml:space="preserve">The nature and purpose of the Processing of </w:t>
      </w:r>
      <w:r>
        <w:rPr>
          <w:rFonts w:eastAsia="Arial" w:cs="Arial" w:ascii="Arial" w:hAnsi="Arial"/>
          <w:i/>
          <w:iCs/>
          <w:sz w:val="20"/>
          <w:szCs w:val="20"/>
          <w:highlight w:val="yellow"/>
        </w:rPr>
        <w:t>Company</w:t>
      </w:r>
      <w:r>
        <w:rPr>
          <w:rFonts w:eastAsia="Arial" w:cs="Arial" w:ascii="Arial" w:hAnsi="Arial"/>
          <w:i/>
          <w:iCs/>
          <w:sz w:val="20"/>
          <w:szCs w:val="20"/>
        </w:rPr>
        <w:t xml:space="preserve"> Personal Data</w:t>
      </w:r>
    </w:p>
    <w:p>
      <w:pPr>
        <w:pStyle w:val="normal1"/>
        <w:rPr>
          <w:rFonts w:ascii="Arial" w:hAnsi="Arial" w:eastAsia="Arial" w:cs="Arial"/>
          <w:sz w:val="20"/>
          <w:szCs w:val="20"/>
        </w:rPr>
      </w:pPr>
      <w:r>
        <w:rPr>
          <w:rFonts w:eastAsia="Arial" w:cs="Arial" w:ascii="Arial" w:hAnsi="Arial"/>
          <w:sz w:val="20"/>
          <w:szCs w:val="20"/>
        </w:rPr>
        <w:t xml:space="preserve">Provide customer services related to the Service. </w:t>
      </w:r>
    </w:p>
    <w:p>
      <w:pPr>
        <w:pStyle w:val="normal1"/>
        <w:rPr>
          <w:rFonts w:ascii="Arial" w:hAnsi="Arial" w:eastAsia="Arial" w:cs="Arial"/>
          <w:i/>
          <w:i/>
          <w:iCs/>
          <w:sz w:val="20"/>
          <w:szCs w:val="20"/>
        </w:rPr>
      </w:pPr>
      <w:r>
        <w:rPr>
          <w:rFonts w:eastAsia="Arial" w:cs="Arial" w:ascii="Arial" w:hAnsi="Arial"/>
          <w:i/>
          <w:iCs/>
          <w:sz w:val="20"/>
          <w:szCs w:val="20"/>
        </w:rPr>
        <w:t xml:space="preserve">The types of </w:t>
      </w:r>
      <w:r>
        <w:rPr>
          <w:rFonts w:eastAsia="Arial" w:cs="Arial" w:ascii="Arial" w:hAnsi="Arial"/>
          <w:i/>
          <w:iCs/>
          <w:sz w:val="20"/>
          <w:szCs w:val="20"/>
          <w:highlight w:val="yellow"/>
        </w:rPr>
        <w:t>Company</w:t>
      </w:r>
      <w:r>
        <w:rPr>
          <w:rFonts w:eastAsia="Arial" w:cs="Arial" w:ascii="Arial" w:hAnsi="Arial"/>
          <w:i/>
          <w:iCs/>
          <w:sz w:val="20"/>
          <w:szCs w:val="20"/>
        </w:rPr>
        <w:t xml:space="preserve"> Personal Data to be Processed</w:t>
      </w:r>
    </w:p>
    <w:p>
      <w:pPr>
        <w:pStyle w:val="normal1"/>
        <w:rPr>
          <w:rFonts w:ascii="Arial" w:hAnsi="Arial" w:eastAsia="Arial" w:cs="Arial"/>
          <w:sz w:val="20"/>
          <w:szCs w:val="20"/>
        </w:rPr>
      </w:pPr>
      <w:r>
        <w:rPr>
          <w:rFonts w:eastAsia="Arial" w:cs="Arial" w:ascii="Arial" w:hAnsi="Arial"/>
          <w:sz w:val="20"/>
          <w:szCs w:val="20"/>
        </w:rPr>
        <w:t>Name, Email, IP Address, Cookies, Logs, Payment information, Additional information collected by Data controller stored in their account.</w:t>
      </w:r>
    </w:p>
    <w:p>
      <w:pPr>
        <w:pStyle w:val="normal1"/>
        <w:rPr>
          <w:rFonts w:ascii="Arial" w:hAnsi="Arial" w:eastAsia="Arial" w:cs="Arial"/>
          <w:i/>
          <w:i/>
          <w:iCs/>
          <w:sz w:val="20"/>
          <w:szCs w:val="20"/>
        </w:rPr>
      </w:pPr>
      <w:r>
        <w:rPr>
          <w:rFonts w:eastAsia="Arial" w:cs="Arial" w:ascii="Arial" w:hAnsi="Arial"/>
          <w:i/>
          <w:iCs/>
          <w:sz w:val="20"/>
          <w:szCs w:val="20"/>
        </w:rPr>
        <w:t xml:space="preserve">The categories of Data Subject to whom the </w:t>
      </w:r>
      <w:r>
        <w:rPr>
          <w:rFonts w:eastAsia="Arial" w:cs="Arial" w:ascii="Arial" w:hAnsi="Arial"/>
          <w:i/>
          <w:iCs/>
          <w:sz w:val="20"/>
          <w:szCs w:val="20"/>
          <w:highlight w:val="yellow"/>
        </w:rPr>
        <w:t>Company</w:t>
      </w:r>
      <w:r>
        <w:rPr>
          <w:rFonts w:eastAsia="Arial" w:cs="Arial" w:ascii="Arial" w:hAnsi="Arial"/>
          <w:i/>
          <w:iCs/>
          <w:sz w:val="20"/>
          <w:szCs w:val="20"/>
        </w:rPr>
        <w:t xml:space="preserve"> Personal Data relates</w:t>
      </w:r>
    </w:p>
    <w:p>
      <w:pPr>
        <w:pStyle w:val="normal1"/>
        <w:rPr>
          <w:rFonts w:ascii="Arial" w:hAnsi="Arial" w:eastAsia="Arial" w:cs="Arial"/>
          <w:sz w:val="20"/>
          <w:szCs w:val="20"/>
        </w:rPr>
      </w:pPr>
      <w:r>
        <w:rPr>
          <w:rFonts w:eastAsia="Arial" w:cs="Arial" w:ascii="Arial" w:hAnsi="Arial"/>
          <w:sz w:val="20"/>
          <w:szCs w:val="20"/>
        </w:rPr>
        <w:t>Customers, Employees, Affiliates, End users of the Services</w:t>
      </w:r>
    </w:p>
    <w:p>
      <w:pPr>
        <w:pStyle w:val="normal1"/>
        <w:tabs>
          <w:tab w:val="clear" w:pos="720"/>
          <w:tab w:val="left" w:pos="5743" w:leader="none"/>
        </w:tabs>
        <w:rPr>
          <w:rFonts w:ascii="Arial" w:hAnsi="Arial" w:eastAsia="Arial" w:cs="Arial"/>
          <w:i/>
          <w:i/>
          <w:iCs/>
          <w:sz w:val="20"/>
          <w:szCs w:val="20"/>
        </w:rPr>
      </w:pPr>
      <w:r>
        <w:rPr>
          <w:rFonts w:eastAsia="Arial" w:cs="Arial" w:ascii="Arial" w:hAnsi="Arial"/>
          <w:i/>
          <w:iCs/>
          <w:sz w:val="20"/>
          <w:szCs w:val="20"/>
        </w:rPr>
        <w:t xml:space="preserve">The obligations and rights of </w:t>
      </w:r>
      <w:r>
        <w:rPr>
          <w:rFonts w:eastAsia="Arial" w:cs="Arial" w:ascii="Arial" w:hAnsi="Arial"/>
          <w:i/>
          <w:iCs/>
          <w:sz w:val="20"/>
          <w:szCs w:val="20"/>
          <w:highlight w:val="yellow"/>
        </w:rPr>
        <w:t>Company</w:t>
      </w:r>
      <w:r>
        <w:rPr>
          <w:rFonts w:eastAsia="Arial" w:cs="Arial" w:ascii="Arial" w:hAnsi="Arial"/>
          <w:i/>
          <w:iCs/>
          <w:sz w:val="20"/>
          <w:szCs w:val="20"/>
        </w:rPr>
        <w:t xml:space="preserve"> </w:t>
        <w:tab/>
      </w:r>
    </w:p>
    <w:p>
      <w:pPr>
        <w:pStyle w:val="normal1"/>
        <w:rPr>
          <w:rFonts w:ascii="Arial" w:hAnsi="Arial" w:eastAsia="Arial" w:cs="Arial"/>
          <w:sz w:val="20"/>
          <w:szCs w:val="20"/>
        </w:rPr>
      </w:pPr>
      <w:r>
        <w:rPr>
          <w:rFonts w:eastAsia="Arial" w:cs="Arial" w:ascii="Arial" w:hAnsi="Arial"/>
          <w:sz w:val="20"/>
          <w:szCs w:val="20"/>
        </w:rPr>
        <w:t xml:space="preserve">The obligations and rights of </w:t>
      </w:r>
      <w:r>
        <w:rPr>
          <w:rFonts w:eastAsia="Arial" w:cs="Arial" w:ascii="Arial" w:hAnsi="Arial"/>
          <w:sz w:val="20"/>
          <w:szCs w:val="20"/>
          <w:highlight w:val="yellow"/>
        </w:rPr>
        <w:t>Company</w:t>
      </w:r>
      <w:r>
        <w:rPr>
          <w:rFonts w:eastAsia="Arial" w:cs="Arial" w:ascii="Arial" w:hAnsi="Arial"/>
          <w:sz w:val="20"/>
          <w:szCs w:val="20"/>
        </w:rPr>
        <w:t xml:space="preserve"> are set out in the Principal Agreement and this DPA.</w:t>
        <w:br/>
      </w:r>
    </w:p>
    <w:p>
      <w:pPr>
        <w:pStyle w:val="normal1"/>
        <w:spacing w:lineRule="auto" w:line="240" w:before="0" w:after="0"/>
        <w:rPr>
          <w:rFonts w:ascii="Arial" w:hAnsi="Arial" w:eastAsia="Arial" w:cs="Arial"/>
          <w:sz w:val="20"/>
          <w:szCs w:val="20"/>
        </w:rPr>
      </w:pPr>
      <w:r>
        <w:rPr>
          <w:rFonts w:eastAsia="Arial" w:cs="Arial" w:ascii="Arial" w:hAnsi="Arial"/>
          <w:sz w:val="20"/>
          <w:szCs w:val="20"/>
        </w:rPr>
      </w:r>
      <w:r>
        <w:br w:type="page"/>
      </w:r>
    </w:p>
    <w:p>
      <w:pPr>
        <w:pStyle w:val="normal1"/>
        <w:spacing w:before="0" w:after="200"/>
        <w:rPr>
          <w:rFonts w:ascii="Arial" w:hAnsi="Arial" w:eastAsia="Arial" w:cs="Arial"/>
          <w:b/>
          <w:bCs/>
          <w:sz w:val="20"/>
          <w:szCs w:val="20"/>
        </w:rPr>
      </w:pPr>
      <w:r>
        <w:rPr>
          <w:rFonts w:eastAsia="Arial" w:cs="Arial" w:ascii="Arial" w:hAnsi="Arial"/>
          <w:b/>
          <w:bCs/>
          <w:sz w:val="20"/>
          <w:szCs w:val="20"/>
        </w:rPr>
        <w:t xml:space="preserve">ANNEX 2: TECHNICAL AND ORGANISATIONAL SECURITY </w:t>
      </w:r>
    </w:p>
    <w:p>
      <w:pPr>
        <w:pStyle w:val="normal1"/>
        <w:rPr>
          <w:rFonts w:ascii="Arial" w:hAnsi="Arial" w:eastAsia="Arial" w:cs="Arial"/>
          <w:sz w:val="20"/>
          <w:szCs w:val="20"/>
        </w:rPr>
      </w:pPr>
      <w:r>
        <w:rPr>
          <w:rFonts w:eastAsia="Arial" w:cs="Arial" w:ascii="Arial" w:hAnsi="Arial"/>
          <w:sz w:val="20"/>
          <w:szCs w:val="20"/>
        </w:rPr>
        <w:t>This Annex 2 describes the technical and organisational measures implemented by the Vendor in relation to the Processing of Company Personal Data under the DPA and, where applicable, for the purposes of Annex II (Technical and organisational measures) to the Standard Contractual Clauses (Module 2 – Controller to Processor and/or Module 3 – Processor to Processor, as applicable).</w:t>
      </w:r>
    </w:p>
    <w:p>
      <w:pPr>
        <w:pStyle w:val="normal1"/>
        <w:rPr>
          <w:rFonts w:ascii="Arial" w:hAnsi="Arial" w:eastAsia="Arial" w:cs="Arial"/>
          <w:sz w:val="20"/>
          <w:szCs w:val="20"/>
        </w:rPr>
      </w:pPr>
      <w:r>
        <w:rPr>
          <w:rFonts w:eastAsia="Arial" w:cs="Arial" w:ascii="Arial" w:hAnsi="Arial"/>
          <w:sz w:val="20"/>
          <w:szCs w:val="20"/>
        </w:rPr>
        <w:t>The Vendor shall maintain these measures taking into account the state of the art, the costs of implementation and the nature, scope, context and purposes of Processing as well as the risk of varying likelihood and severity for the rights and freedoms of natural persons, in line with Article 32 GDPR and the Security clause in the DPA.</w:t>
      </w:r>
    </w:p>
    <w:p>
      <w:pPr>
        <w:pStyle w:val="normal1"/>
        <w:rPr>
          <w:rFonts w:ascii="Arial" w:hAnsi="Arial" w:eastAsia="Arial" w:cs="Arial"/>
          <w:sz w:val="20"/>
          <w:szCs w:val="20"/>
        </w:rPr>
      </w:pPr>
      <w:r>
        <w:rPr>
          <w:rFonts w:eastAsia="Arial" w:cs="Arial" w:ascii="Arial" w:hAnsi="Arial"/>
          <w:sz w:val="20"/>
          <w:szCs w:val="20"/>
        </w:rPr>
      </w:r>
    </w:p>
    <w:p>
      <w:pPr>
        <w:pStyle w:val="normal1"/>
        <w:rPr>
          <w:rFonts w:ascii="Arial" w:hAnsi="Arial" w:eastAsia="Arial" w:cs="Arial"/>
          <w:sz w:val="20"/>
          <w:szCs w:val="20"/>
        </w:rPr>
      </w:pPr>
      <w:r>
        <w:rPr>
          <w:rFonts w:eastAsia="Arial" w:cs="Arial" w:ascii="Arial" w:hAnsi="Arial"/>
          <w:sz w:val="20"/>
          <w:szCs w:val="20"/>
        </w:rPr>
        <w:t>A. TECHNICAL AND ORGANISATIONAL MEASURES TO ENSURE THE SECURITY OF PROCESSING</w:t>
      </w:r>
    </w:p>
    <w:p>
      <w:pPr>
        <w:pStyle w:val="normal1"/>
        <w:rPr>
          <w:rFonts w:ascii="Arial" w:hAnsi="Arial" w:eastAsia="Arial" w:cs="Arial"/>
          <w:sz w:val="20"/>
          <w:szCs w:val="20"/>
        </w:rPr>
      </w:pPr>
      <w:r>
        <w:rPr>
          <w:rFonts w:eastAsia="Arial" w:cs="Arial" w:ascii="Arial" w:hAnsi="Arial"/>
          <w:sz w:val="20"/>
          <w:szCs w:val="20"/>
        </w:rPr>
      </w:r>
    </w:p>
    <w:p>
      <w:pPr>
        <w:pStyle w:val="normal1"/>
        <w:rPr>
          <w:rFonts w:ascii="Arial" w:hAnsi="Arial" w:eastAsia="Arial" w:cs="Arial"/>
          <w:sz w:val="20"/>
          <w:szCs w:val="20"/>
        </w:rPr>
      </w:pPr>
      <w:r>
        <w:rPr>
          <w:rFonts w:eastAsia="Arial" w:cs="Arial" w:ascii="Arial" w:hAnsi="Arial"/>
          <w:sz w:val="20"/>
          <w:szCs w:val="20"/>
        </w:rPr>
        <w:t>1. Information Security Governance and Organisation</w:t>
      </w:r>
    </w:p>
    <w:p>
      <w:pPr>
        <w:pStyle w:val="normal1"/>
        <w:rPr>
          <w:rFonts w:ascii="Arial" w:hAnsi="Arial" w:eastAsia="Arial" w:cs="Arial"/>
          <w:sz w:val="20"/>
          <w:szCs w:val="20"/>
        </w:rPr>
      </w:pPr>
      <w:r>
        <w:rPr>
          <w:rFonts w:eastAsia="Arial" w:cs="Arial" w:ascii="Arial" w:hAnsi="Arial"/>
          <w:sz w:val="20"/>
          <w:szCs w:val="20"/>
        </w:rPr>
        <w:t>1.1 The Vendor maintains an information security programme approved by senior management, which defines roles and responsibilities for information security, risk management and data protection.</w:t>
      </w:r>
    </w:p>
    <w:p>
      <w:pPr>
        <w:pStyle w:val="normal1"/>
        <w:rPr>
          <w:rFonts w:ascii="Arial" w:hAnsi="Arial" w:eastAsia="Arial" w:cs="Arial"/>
          <w:sz w:val="20"/>
          <w:szCs w:val="20"/>
        </w:rPr>
      </w:pPr>
      <w:r>
        <w:rPr>
          <w:rFonts w:eastAsia="Arial" w:cs="Arial" w:ascii="Arial" w:hAnsi="Arial"/>
          <w:sz w:val="20"/>
          <w:szCs w:val="20"/>
        </w:rPr>
        <w:t>1.2 The Vendor appoints one or more persons responsible for coordinating information security and data protection activities (e.g. security lead and/or data protection officer, where required by law).</w:t>
      </w:r>
    </w:p>
    <w:p>
      <w:pPr>
        <w:pStyle w:val="normal1"/>
        <w:rPr>
          <w:rFonts w:ascii="Arial" w:hAnsi="Arial" w:eastAsia="Arial" w:cs="Arial"/>
          <w:sz w:val="20"/>
          <w:szCs w:val="20"/>
        </w:rPr>
      </w:pPr>
      <w:r>
        <w:rPr>
          <w:rFonts w:eastAsia="Arial" w:cs="Arial" w:ascii="Arial" w:hAnsi="Arial"/>
          <w:sz w:val="20"/>
          <w:szCs w:val="20"/>
        </w:rPr>
        <w:t>1.3 Security and privacy responsibilities are defined in internal policies, job descriptions and, where appropriate, internal guidelines or procedures.</w:t>
      </w:r>
    </w:p>
    <w:p>
      <w:pPr>
        <w:pStyle w:val="normal1"/>
        <w:rPr>
          <w:rFonts w:ascii="Arial" w:hAnsi="Arial" w:eastAsia="Arial" w:cs="Arial"/>
          <w:sz w:val="20"/>
          <w:szCs w:val="20"/>
        </w:rPr>
      </w:pPr>
      <w:r>
        <w:rPr>
          <w:rFonts w:eastAsia="Arial" w:cs="Arial" w:ascii="Arial" w:hAnsi="Arial"/>
          <w:sz w:val="20"/>
          <w:szCs w:val="20"/>
        </w:rPr>
      </w:r>
    </w:p>
    <w:p>
      <w:pPr>
        <w:pStyle w:val="normal1"/>
        <w:rPr>
          <w:rFonts w:ascii="Arial" w:hAnsi="Arial" w:eastAsia="Arial" w:cs="Arial"/>
          <w:sz w:val="20"/>
          <w:szCs w:val="20"/>
        </w:rPr>
      </w:pPr>
      <w:r>
        <w:rPr>
          <w:rFonts w:eastAsia="Arial" w:cs="Arial" w:ascii="Arial" w:hAnsi="Arial"/>
          <w:sz w:val="20"/>
          <w:szCs w:val="20"/>
        </w:rPr>
        <w:t>2. Policies, Standards and Risk Management</w:t>
      </w:r>
    </w:p>
    <w:p>
      <w:pPr>
        <w:pStyle w:val="normal1"/>
        <w:rPr>
          <w:rFonts w:ascii="Arial" w:hAnsi="Arial" w:eastAsia="Arial" w:cs="Arial"/>
          <w:sz w:val="20"/>
          <w:szCs w:val="20"/>
        </w:rPr>
      </w:pPr>
      <w:r>
        <w:rPr>
          <w:rFonts w:eastAsia="Arial" w:cs="Arial" w:ascii="Arial" w:hAnsi="Arial"/>
          <w:sz w:val="20"/>
          <w:szCs w:val="20"/>
        </w:rPr>
        <w:t>2.1 The Vendor maintains documented information security and data protection policies that are reviewed periodically and updated as needed.</w:t>
      </w:r>
    </w:p>
    <w:p>
      <w:pPr>
        <w:pStyle w:val="normal1"/>
        <w:rPr>
          <w:rFonts w:ascii="Arial" w:hAnsi="Arial" w:eastAsia="Arial" w:cs="Arial"/>
          <w:sz w:val="20"/>
          <w:szCs w:val="20"/>
        </w:rPr>
      </w:pPr>
      <w:r>
        <w:rPr>
          <w:rFonts w:eastAsia="Arial" w:cs="Arial" w:ascii="Arial" w:hAnsi="Arial"/>
          <w:sz w:val="20"/>
          <w:szCs w:val="20"/>
        </w:rPr>
        <w:t>2.2 The Vendor performs risk assessments relating to the Processing of Company Personal Data at appropriate intervals and in the event of material changes to the Services or the underlying infrastructure.</w:t>
      </w:r>
    </w:p>
    <w:p>
      <w:pPr>
        <w:pStyle w:val="normal1"/>
        <w:rPr>
          <w:rFonts w:ascii="Arial" w:hAnsi="Arial" w:eastAsia="Arial" w:cs="Arial"/>
          <w:sz w:val="20"/>
          <w:szCs w:val="20"/>
        </w:rPr>
      </w:pPr>
      <w:r>
        <w:rPr>
          <w:rFonts w:eastAsia="Arial" w:cs="Arial" w:ascii="Arial" w:hAnsi="Arial"/>
          <w:sz w:val="20"/>
          <w:szCs w:val="20"/>
        </w:rPr>
        <w:t>2.3 Risk assessments consider threats to confidentiality, integrity, availability and resilience of systems and services and result in risk treatment measures.</w:t>
      </w:r>
    </w:p>
    <w:p>
      <w:pPr>
        <w:pStyle w:val="normal1"/>
        <w:rPr>
          <w:rFonts w:ascii="Arial" w:hAnsi="Arial" w:eastAsia="Arial" w:cs="Arial"/>
          <w:sz w:val="20"/>
          <w:szCs w:val="20"/>
        </w:rPr>
      </w:pPr>
      <w:r>
        <w:rPr>
          <w:rFonts w:eastAsia="Arial" w:cs="Arial" w:ascii="Arial" w:hAnsi="Arial"/>
          <w:sz w:val="20"/>
          <w:szCs w:val="20"/>
        </w:rPr>
      </w:r>
    </w:p>
    <w:p>
      <w:pPr>
        <w:pStyle w:val="normal1"/>
        <w:rPr>
          <w:rFonts w:ascii="Arial" w:hAnsi="Arial" w:eastAsia="Arial" w:cs="Arial"/>
          <w:sz w:val="20"/>
          <w:szCs w:val="20"/>
        </w:rPr>
      </w:pPr>
      <w:r>
        <w:rPr>
          <w:rFonts w:eastAsia="Arial" w:cs="Arial" w:ascii="Arial" w:hAnsi="Arial"/>
          <w:sz w:val="20"/>
          <w:szCs w:val="20"/>
        </w:rPr>
        <w:t>3. Human Resources Security and Confidentiality</w:t>
      </w:r>
    </w:p>
    <w:p>
      <w:pPr>
        <w:pStyle w:val="normal1"/>
        <w:rPr>
          <w:rFonts w:ascii="Arial" w:hAnsi="Arial" w:eastAsia="Arial" w:cs="Arial"/>
          <w:sz w:val="20"/>
          <w:szCs w:val="20"/>
        </w:rPr>
      </w:pPr>
      <w:r>
        <w:rPr>
          <w:rFonts w:eastAsia="Arial" w:cs="Arial" w:ascii="Arial" w:hAnsi="Arial"/>
          <w:sz w:val="20"/>
          <w:szCs w:val="20"/>
        </w:rPr>
        <w:t>3.1 All personnel with access to Company Personal Data are subject to confidentiality obligations, either by contract or by law. Such obligations continue after the end of the engagement.</w:t>
      </w:r>
    </w:p>
    <w:p>
      <w:pPr>
        <w:pStyle w:val="normal1"/>
        <w:rPr>
          <w:rFonts w:ascii="Arial" w:hAnsi="Arial" w:eastAsia="Arial" w:cs="Arial"/>
          <w:sz w:val="20"/>
          <w:szCs w:val="20"/>
        </w:rPr>
      </w:pPr>
      <w:r>
        <w:rPr>
          <w:rFonts w:eastAsia="Arial" w:cs="Arial" w:ascii="Arial" w:hAnsi="Arial"/>
          <w:sz w:val="20"/>
          <w:szCs w:val="20"/>
        </w:rPr>
        <w:t>3.2 The Vendor provides appropriate training on data protection, information security and confidentiality to relevant personnel on a recurring basis.</w:t>
      </w:r>
    </w:p>
    <w:p>
      <w:pPr>
        <w:pStyle w:val="normal1"/>
        <w:rPr>
          <w:rFonts w:ascii="Arial" w:hAnsi="Arial" w:eastAsia="Arial" w:cs="Arial"/>
          <w:sz w:val="20"/>
          <w:szCs w:val="20"/>
        </w:rPr>
      </w:pPr>
      <w:r>
        <w:rPr>
          <w:rFonts w:eastAsia="Arial" w:cs="Arial" w:ascii="Arial" w:hAnsi="Arial"/>
          <w:sz w:val="20"/>
          <w:szCs w:val="20"/>
        </w:rPr>
        <w:t>3.3 Access to Company Personal Data is granted strictly on a need-to-know basis, in line with the “least privilege” principle and subject to management approval.</w:t>
      </w:r>
    </w:p>
    <w:p>
      <w:pPr>
        <w:pStyle w:val="normal1"/>
        <w:rPr>
          <w:rFonts w:ascii="Arial" w:hAnsi="Arial" w:eastAsia="Arial" w:cs="Arial"/>
          <w:sz w:val="20"/>
          <w:szCs w:val="20"/>
        </w:rPr>
      </w:pPr>
      <w:r>
        <w:rPr>
          <w:rFonts w:eastAsia="Arial" w:cs="Arial" w:ascii="Arial" w:hAnsi="Arial"/>
          <w:sz w:val="20"/>
          <w:szCs w:val="20"/>
        </w:rPr>
      </w:r>
    </w:p>
    <w:p>
      <w:pPr>
        <w:pStyle w:val="normal1"/>
        <w:rPr>
          <w:rFonts w:ascii="Arial" w:hAnsi="Arial" w:eastAsia="Arial" w:cs="Arial"/>
          <w:sz w:val="20"/>
          <w:szCs w:val="20"/>
        </w:rPr>
      </w:pPr>
      <w:r>
        <w:rPr>
          <w:rFonts w:eastAsia="Arial" w:cs="Arial" w:ascii="Arial" w:hAnsi="Arial"/>
          <w:sz w:val="20"/>
          <w:szCs w:val="20"/>
        </w:rPr>
        <w:t>4. Physical and Environmental Security</w:t>
      </w:r>
    </w:p>
    <w:p>
      <w:pPr>
        <w:pStyle w:val="normal1"/>
        <w:rPr>
          <w:rFonts w:ascii="Arial" w:hAnsi="Arial" w:eastAsia="Arial" w:cs="Arial"/>
          <w:sz w:val="20"/>
          <w:szCs w:val="20"/>
        </w:rPr>
      </w:pPr>
      <w:r>
        <w:rPr>
          <w:rFonts w:eastAsia="Arial" w:cs="Arial" w:ascii="Arial" w:hAnsi="Arial"/>
          <w:sz w:val="20"/>
          <w:szCs w:val="20"/>
        </w:rPr>
        <w:t>4.1 The Vendor implements physical security controls for offices and data processing facilities (or relies on data centre/cloud providers implementing such measures), including, as appropriate:</w:t>
        <w:br/>
        <w:t>(a) controlled access to buildings and premises (e.g. keys, access cards, reception);</w:t>
        <w:br/>
        <w:t>(b) visitor registration and/or escorting procedures;</w:t>
        <w:br/>
        <w:t>(c) physical protection of server rooms and network equipment.</w:t>
      </w:r>
    </w:p>
    <w:p>
      <w:pPr>
        <w:pStyle w:val="normal1"/>
        <w:rPr>
          <w:rFonts w:ascii="Arial" w:hAnsi="Arial" w:eastAsia="Arial" w:cs="Arial"/>
          <w:sz w:val="20"/>
          <w:szCs w:val="20"/>
        </w:rPr>
      </w:pPr>
      <w:r>
        <w:rPr>
          <w:rFonts w:eastAsia="Arial" w:cs="Arial" w:ascii="Arial" w:hAnsi="Arial"/>
          <w:sz w:val="20"/>
          <w:szCs w:val="20"/>
        </w:rPr>
        <w:t>4.2 Appropriate environmental controls are in place to protect systems processing Company Personal Data against fire, flooding, overheating and power outages (e.g. fire detection and suppression where applicable, climate control, uninterruptible power supplies).</w:t>
      </w:r>
    </w:p>
    <w:p>
      <w:pPr>
        <w:pStyle w:val="normal1"/>
        <w:rPr>
          <w:rFonts w:ascii="Arial" w:hAnsi="Arial" w:eastAsia="Arial" w:cs="Arial"/>
          <w:sz w:val="20"/>
          <w:szCs w:val="20"/>
        </w:rPr>
      </w:pPr>
      <w:r>
        <w:rPr>
          <w:rFonts w:eastAsia="Arial" w:cs="Arial" w:ascii="Arial" w:hAnsi="Arial"/>
          <w:sz w:val="20"/>
          <w:szCs w:val="20"/>
        </w:rPr>
      </w:r>
    </w:p>
    <w:p>
      <w:pPr>
        <w:pStyle w:val="normal1"/>
        <w:rPr>
          <w:rFonts w:ascii="Arial" w:hAnsi="Arial" w:eastAsia="Arial" w:cs="Arial"/>
          <w:sz w:val="20"/>
          <w:szCs w:val="20"/>
        </w:rPr>
      </w:pPr>
      <w:r>
        <w:rPr>
          <w:rFonts w:eastAsia="Arial" w:cs="Arial" w:ascii="Arial" w:hAnsi="Arial"/>
          <w:sz w:val="20"/>
          <w:szCs w:val="20"/>
        </w:rPr>
        <w:t>5. Access Control and Authentication</w:t>
      </w:r>
    </w:p>
    <w:p>
      <w:pPr>
        <w:pStyle w:val="normal1"/>
        <w:rPr>
          <w:rFonts w:ascii="Arial" w:hAnsi="Arial" w:eastAsia="Arial" w:cs="Arial"/>
          <w:sz w:val="20"/>
          <w:szCs w:val="20"/>
        </w:rPr>
      </w:pPr>
      <w:r>
        <w:rPr>
          <w:rFonts w:eastAsia="Arial" w:cs="Arial" w:ascii="Arial" w:hAnsi="Arial"/>
          <w:sz w:val="20"/>
          <w:szCs w:val="20"/>
        </w:rPr>
        <w:t>5.1 Logical access to systems and applications processing Company Personal Data is controlled through unique user IDs and secure authentication mechanisms.</w:t>
      </w:r>
    </w:p>
    <w:p>
      <w:pPr>
        <w:pStyle w:val="normal1"/>
        <w:rPr>
          <w:rFonts w:ascii="Arial" w:hAnsi="Arial" w:eastAsia="Arial" w:cs="Arial"/>
          <w:sz w:val="20"/>
          <w:szCs w:val="20"/>
        </w:rPr>
      </w:pPr>
      <w:r>
        <w:rPr>
          <w:rFonts w:eastAsia="Arial" w:cs="Arial" w:ascii="Arial" w:hAnsi="Arial"/>
          <w:sz w:val="20"/>
          <w:szCs w:val="20"/>
        </w:rPr>
        <w:t>5.2 Access rights are granted based on role-based access control (RBAC) or a similar concept and are reviewed periodically. Access is removed or adjusted promptly when personnel change roles or leave the organisation.</w:t>
      </w:r>
    </w:p>
    <w:p>
      <w:pPr>
        <w:pStyle w:val="normal1"/>
        <w:rPr>
          <w:rFonts w:ascii="Arial" w:hAnsi="Arial" w:eastAsia="Arial" w:cs="Arial"/>
          <w:sz w:val="20"/>
          <w:szCs w:val="20"/>
        </w:rPr>
      </w:pPr>
      <w:r>
        <w:rPr>
          <w:rFonts w:eastAsia="Arial" w:cs="Arial" w:ascii="Arial" w:hAnsi="Arial"/>
          <w:sz w:val="20"/>
          <w:szCs w:val="20"/>
        </w:rPr>
        <w:t>5.3 Where technically feasible, strong authentication (e.g. multi-factor authentication) is implemented for administrative access and other high-privilege accounts.</w:t>
      </w:r>
    </w:p>
    <w:p>
      <w:pPr>
        <w:pStyle w:val="normal1"/>
        <w:rPr>
          <w:rFonts w:ascii="Arial" w:hAnsi="Arial" w:eastAsia="Arial" w:cs="Arial"/>
          <w:sz w:val="20"/>
          <w:szCs w:val="20"/>
        </w:rPr>
      </w:pPr>
      <w:r>
        <w:rPr>
          <w:rFonts w:eastAsia="Arial" w:cs="Arial" w:ascii="Arial" w:hAnsi="Arial"/>
          <w:sz w:val="20"/>
          <w:szCs w:val="20"/>
        </w:rPr>
        <w:t>5.4 Accounts are configured with appropriate password complexity, rotation and lockout settings in line with internal security policies and industry practice.</w:t>
      </w:r>
    </w:p>
    <w:p>
      <w:pPr>
        <w:pStyle w:val="normal1"/>
        <w:rPr>
          <w:rFonts w:ascii="Arial" w:hAnsi="Arial" w:eastAsia="Arial" w:cs="Arial"/>
          <w:sz w:val="20"/>
          <w:szCs w:val="20"/>
        </w:rPr>
      </w:pPr>
      <w:r>
        <w:rPr>
          <w:rFonts w:eastAsia="Arial" w:cs="Arial" w:ascii="Arial" w:hAnsi="Arial"/>
          <w:sz w:val="20"/>
          <w:szCs w:val="20"/>
        </w:rPr>
      </w:r>
    </w:p>
    <w:p>
      <w:pPr>
        <w:pStyle w:val="normal1"/>
        <w:rPr>
          <w:rFonts w:ascii="Arial" w:hAnsi="Arial" w:eastAsia="Arial" w:cs="Arial"/>
          <w:sz w:val="20"/>
          <w:szCs w:val="20"/>
        </w:rPr>
      </w:pPr>
      <w:r>
        <w:rPr>
          <w:rFonts w:eastAsia="Arial" w:cs="Arial" w:ascii="Arial" w:hAnsi="Arial"/>
          <w:sz w:val="20"/>
          <w:szCs w:val="20"/>
        </w:rPr>
        <w:t>6. Data Segregation and Separation</w:t>
      </w:r>
    </w:p>
    <w:p>
      <w:pPr>
        <w:pStyle w:val="normal1"/>
        <w:rPr>
          <w:rFonts w:ascii="Arial" w:hAnsi="Arial" w:eastAsia="Arial" w:cs="Arial"/>
          <w:sz w:val="20"/>
          <w:szCs w:val="20"/>
        </w:rPr>
      </w:pPr>
      <w:r>
        <w:rPr>
          <w:rFonts w:eastAsia="Arial" w:cs="Arial" w:ascii="Arial" w:hAnsi="Arial"/>
          <w:sz w:val="20"/>
          <w:szCs w:val="20"/>
        </w:rPr>
        <w:t>6.1 Logical separation of data is implemented to ensure that Company Personal Data is segregated from data of other customers and from the Vendor’s own data, e.g. through tenant separation at the application and/or database level.</w:t>
      </w:r>
    </w:p>
    <w:p>
      <w:pPr>
        <w:pStyle w:val="normal1"/>
        <w:rPr>
          <w:rFonts w:ascii="Arial" w:hAnsi="Arial" w:eastAsia="Arial" w:cs="Arial"/>
          <w:sz w:val="20"/>
          <w:szCs w:val="20"/>
        </w:rPr>
      </w:pPr>
      <w:r>
        <w:rPr>
          <w:rFonts w:eastAsia="Arial" w:cs="Arial" w:ascii="Arial" w:hAnsi="Arial"/>
          <w:sz w:val="20"/>
          <w:szCs w:val="20"/>
        </w:rPr>
        <w:t>6.2 Test and development environments are logically separated from production environments. Company Personal Data is not used in test environments unless it is appropriately anonymised or pseudonymised.</w:t>
      </w:r>
    </w:p>
    <w:p>
      <w:pPr>
        <w:pStyle w:val="normal1"/>
        <w:rPr>
          <w:rFonts w:ascii="Arial" w:hAnsi="Arial" w:eastAsia="Arial" w:cs="Arial"/>
          <w:sz w:val="20"/>
          <w:szCs w:val="20"/>
        </w:rPr>
      </w:pPr>
      <w:r>
        <w:rPr>
          <w:rFonts w:eastAsia="Arial" w:cs="Arial" w:ascii="Arial" w:hAnsi="Arial"/>
          <w:sz w:val="20"/>
          <w:szCs w:val="20"/>
        </w:rPr>
      </w:r>
    </w:p>
    <w:p>
      <w:pPr>
        <w:pStyle w:val="normal1"/>
        <w:rPr>
          <w:rFonts w:ascii="Arial" w:hAnsi="Arial" w:eastAsia="Arial" w:cs="Arial"/>
          <w:sz w:val="20"/>
          <w:szCs w:val="20"/>
        </w:rPr>
      </w:pPr>
      <w:r>
        <w:rPr>
          <w:rFonts w:eastAsia="Arial" w:cs="Arial" w:ascii="Arial" w:hAnsi="Arial"/>
          <w:sz w:val="20"/>
          <w:szCs w:val="20"/>
        </w:rPr>
        <w:t>7. Encryption and Pseudonymisation</w:t>
      </w:r>
    </w:p>
    <w:p>
      <w:pPr>
        <w:pStyle w:val="normal1"/>
        <w:rPr>
          <w:rFonts w:ascii="Arial" w:hAnsi="Arial" w:eastAsia="Arial" w:cs="Arial"/>
          <w:sz w:val="20"/>
          <w:szCs w:val="20"/>
        </w:rPr>
      </w:pPr>
      <w:r>
        <w:rPr>
          <w:rFonts w:eastAsia="Arial" w:cs="Arial" w:ascii="Arial" w:hAnsi="Arial"/>
          <w:sz w:val="20"/>
          <w:szCs w:val="20"/>
        </w:rPr>
        <w:t>7.1 Where appropriate, the Vendor implements encryption of Company Personal Data in transit (e.g. TLS or equivalent encryption for data transmitted over public networks) and at rest (e.g. encryption of databases, storage volumes or backups).</w:t>
      </w:r>
    </w:p>
    <w:p>
      <w:pPr>
        <w:pStyle w:val="normal1"/>
        <w:rPr>
          <w:rFonts w:ascii="Arial" w:hAnsi="Arial" w:eastAsia="Arial" w:cs="Arial"/>
          <w:sz w:val="20"/>
          <w:szCs w:val="20"/>
        </w:rPr>
      </w:pPr>
      <w:r>
        <w:rPr>
          <w:rFonts w:eastAsia="Arial" w:cs="Arial" w:ascii="Arial" w:hAnsi="Arial"/>
          <w:sz w:val="20"/>
          <w:szCs w:val="20"/>
        </w:rPr>
        <w:t>7.2 Cryptographic measures are implemented in line with industry standards and internal cryptographic policies (e.g. key lengths, algorithms, key management).</w:t>
      </w:r>
    </w:p>
    <w:p>
      <w:pPr>
        <w:pStyle w:val="normal1"/>
        <w:rPr>
          <w:rFonts w:ascii="Arial" w:hAnsi="Arial" w:eastAsia="Arial" w:cs="Arial"/>
          <w:sz w:val="20"/>
          <w:szCs w:val="20"/>
        </w:rPr>
      </w:pPr>
      <w:r>
        <w:rPr>
          <w:rFonts w:eastAsia="Arial" w:cs="Arial" w:ascii="Arial" w:hAnsi="Arial"/>
          <w:sz w:val="20"/>
          <w:szCs w:val="20"/>
        </w:rPr>
        <w:t>7.3 Where appropriate, the Vendor applies pseudonymisation or other data minimisation techniques to reduce the identifiability of data subjects, taking into account the purposes of Processing.</w:t>
      </w:r>
    </w:p>
    <w:p>
      <w:pPr>
        <w:pStyle w:val="normal1"/>
        <w:rPr>
          <w:rFonts w:ascii="Arial" w:hAnsi="Arial" w:eastAsia="Arial" w:cs="Arial"/>
          <w:sz w:val="20"/>
          <w:szCs w:val="20"/>
        </w:rPr>
      </w:pPr>
      <w:r>
        <w:rPr>
          <w:rFonts w:eastAsia="Arial" w:cs="Arial" w:ascii="Arial" w:hAnsi="Arial"/>
          <w:sz w:val="20"/>
          <w:szCs w:val="20"/>
        </w:rPr>
      </w:r>
    </w:p>
    <w:p>
      <w:pPr>
        <w:pStyle w:val="normal1"/>
        <w:rPr>
          <w:rFonts w:ascii="Arial" w:hAnsi="Arial" w:eastAsia="Arial" w:cs="Arial"/>
          <w:sz w:val="20"/>
          <w:szCs w:val="20"/>
        </w:rPr>
      </w:pPr>
      <w:r>
        <w:rPr>
          <w:rFonts w:eastAsia="Arial" w:cs="Arial" w:ascii="Arial" w:hAnsi="Arial"/>
          <w:sz w:val="20"/>
          <w:szCs w:val="20"/>
        </w:rPr>
        <w:t>8. System and Network Security</w:t>
      </w:r>
    </w:p>
    <w:p>
      <w:pPr>
        <w:pStyle w:val="normal1"/>
        <w:rPr>
          <w:rFonts w:ascii="Arial" w:hAnsi="Arial" w:eastAsia="Arial" w:cs="Arial"/>
          <w:sz w:val="20"/>
          <w:szCs w:val="20"/>
        </w:rPr>
      </w:pPr>
      <w:r>
        <w:rPr>
          <w:rFonts w:eastAsia="Arial" w:cs="Arial" w:ascii="Arial" w:hAnsi="Arial"/>
          <w:sz w:val="20"/>
          <w:szCs w:val="20"/>
        </w:rPr>
        <w:t>8.1 The Vendor maintains network security measures designed to prevent unauthorised access and attacks, which may include:</w:t>
      </w:r>
    </w:p>
    <w:p>
      <w:pPr>
        <w:pStyle w:val="normal1"/>
        <w:rPr>
          <w:rFonts w:ascii="Arial" w:hAnsi="Arial" w:eastAsia="Arial" w:cs="Arial"/>
          <w:sz w:val="20"/>
          <w:szCs w:val="20"/>
        </w:rPr>
      </w:pPr>
      <w:r>
        <w:rPr>
          <w:rFonts w:eastAsia="Arial" w:cs="Arial" w:ascii="Arial" w:hAnsi="Arial"/>
          <w:sz w:val="20"/>
          <w:szCs w:val="20"/>
        </w:rPr>
        <w:t>(a) firewalls and/or security groups for network segmentation and perimeter protection;</w:t>
      </w:r>
    </w:p>
    <w:p>
      <w:pPr>
        <w:pStyle w:val="normal1"/>
        <w:rPr>
          <w:rFonts w:ascii="Arial" w:hAnsi="Arial" w:eastAsia="Arial" w:cs="Arial"/>
          <w:sz w:val="20"/>
          <w:szCs w:val="20"/>
        </w:rPr>
      </w:pPr>
      <w:r>
        <w:rPr>
          <w:rFonts w:eastAsia="Arial" w:cs="Arial" w:ascii="Arial" w:hAnsi="Arial"/>
          <w:sz w:val="20"/>
          <w:szCs w:val="20"/>
        </w:rPr>
        <w:t>(b) intrusion detection/prevention capabilities or equivalent monitoring by the Vendor or its infrastructure providers;</w:t>
      </w:r>
    </w:p>
    <w:p>
      <w:pPr>
        <w:pStyle w:val="normal1"/>
        <w:rPr>
          <w:rFonts w:ascii="Arial" w:hAnsi="Arial" w:eastAsia="Arial" w:cs="Arial"/>
          <w:sz w:val="20"/>
          <w:szCs w:val="20"/>
        </w:rPr>
      </w:pPr>
      <w:r>
        <w:rPr>
          <w:rFonts w:eastAsia="Arial" w:cs="Arial" w:ascii="Arial" w:hAnsi="Arial"/>
          <w:sz w:val="20"/>
          <w:szCs w:val="20"/>
        </w:rPr>
        <w:t>(c) secure configuration baselines for operating systems and network devices.</w:t>
      </w:r>
    </w:p>
    <w:p>
      <w:pPr>
        <w:pStyle w:val="normal1"/>
        <w:rPr>
          <w:rFonts w:ascii="Arial" w:hAnsi="Arial" w:eastAsia="Arial" w:cs="Arial"/>
          <w:sz w:val="20"/>
          <w:szCs w:val="20"/>
        </w:rPr>
      </w:pPr>
      <w:r>
        <w:rPr>
          <w:rFonts w:eastAsia="Arial" w:cs="Arial" w:ascii="Arial" w:hAnsi="Arial"/>
          <w:sz w:val="20"/>
          <w:szCs w:val="20"/>
        </w:rPr>
        <w:t>8.2 The Vendor performs regular vulnerability scanning of relevant infrastructure and applications, including both external and internal vulnerability scans, to identify potential weaknesses.</w:t>
      </w:r>
    </w:p>
    <w:p>
      <w:pPr>
        <w:pStyle w:val="normal1"/>
        <w:rPr>
          <w:rFonts w:ascii="Arial" w:hAnsi="Arial" w:eastAsia="Arial" w:cs="Arial"/>
          <w:sz w:val="20"/>
          <w:szCs w:val="20"/>
        </w:rPr>
      </w:pPr>
      <w:r>
        <w:rPr>
          <w:rFonts w:eastAsia="Arial" w:cs="Arial" w:ascii="Arial" w:hAnsi="Arial"/>
          <w:sz w:val="20"/>
          <w:szCs w:val="20"/>
        </w:rPr>
        <w:t>8.3 The Vendor engages professional penetration testers at reasonable intervals to perform controlled security testing of its Services and/or related applications.</w:t>
      </w:r>
    </w:p>
    <w:p>
      <w:pPr>
        <w:pStyle w:val="normal1"/>
        <w:rPr>
          <w:rFonts w:ascii="Arial" w:hAnsi="Arial" w:eastAsia="Arial" w:cs="Arial"/>
          <w:sz w:val="20"/>
          <w:szCs w:val="20"/>
        </w:rPr>
      </w:pPr>
      <w:r>
        <w:rPr>
          <w:rFonts w:eastAsia="Arial" w:cs="Arial" w:ascii="Arial" w:hAnsi="Arial"/>
          <w:sz w:val="20"/>
          <w:szCs w:val="20"/>
        </w:rPr>
        <w:t>9. Logging, Monitoring and Incident Detection</w:t>
      </w:r>
    </w:p>
    <w:p>
      <w:pPr>
        <w:pStyle w:val="normal1"/>
        <w:rPr>
          <w:rFonts w:ascii="Arial" w:hAnsi="Arial" w:eastAsia="Arial" w:cs="Arial"/>
          <w:sz w:val="20"/>
          <w:szCs w:val="20"/>
        </w:rPr>
      </w:pPr>
      <w:r>
        <w:rPr>
          <w:rFonts w:eastAsia="Arial" w:cs="Arial" w:ascii="Arial" w:hAnsi="Arial"/>
          <w:sz w:val="20"/>
          <w:szCs w:val="20"/>
        </w:rPr>
        <w:t>9.1 Systems processing Company Personal Data generate security-relevant logs (e.g. authentication events, administrative actions, system changes) to support detection and investigation of incidents.</w:t>
      </w:r>
    </w:p>
    <w:p>
      <w:pPr>
        <w:pStyle w:val="normal1"/>
        <w:rPr>
          <w:rFonts w:ascii="Arial" w:hAnsi="Arial" w:eastAsia="Arial" w:cs="Arial"/>
          <w:sz w:val="20"/>
          <w:szCs w:val="20"/>
        </w:rPr>
      </w:pPr>
      <w:r>
        <w:rPr>
          <w:rFonts w:eastAsia="Arial" w:cs="Arial" w:ascii="Arial" w:hAnsi="Arial"/>
          <w:sz w:val="20"/>
          <w:szCs w:val="20"/>
        </w:rPr>
        <w:t>9.2 Logs are protected against unauthorised modification and are retained for a period appropriate to support security monitoring, incident response and compliance requirements.</w:t>
      </w:r>
    </w:p>
    <w:p>
      <w:pPr>
        <w:pStyle w:val="normal1"/>
        <w:rPr>
          <w:rFonts w:ascii="Arial" w:hAnsi="Arial" w:eastAsia="Arial" w:cs="Arial"/>
          <w:sz w:val="20"/>
          <w:szCs w:val="20"/>
        </w:rPr>
      </w:pPr>
      <w:r>
        <w:rPr>
          <w:rFonts w:eastAsia="Arial" w:cs="Arial" w:ascii="Arial" w:hAnsi="Arial"/>
          <w:sz w:val="20"/>
          <w:szCs w:val="20"/>
        </w:rPr>
        <w:t>9.3 The Vendor maintains monitoring processes and/or tools designed to detect anomalies, suspected security incidents and service disruptions.</w:t>
      </w:r>
    </w:p>
    <w:p>
      <w:pPr>
        <w:pStyle w:val="normal1"/>
        <w:rPr>
          <w:rFonts w:ascii="Arial" w:hAnsi="Arial" w:eastAsia="Arial" w:cs="Arial"/>
          <w:sz w:val="20"/>
          <w:szCs w:val="20"/>
        </w:rPr>
      </w:pPr>
      <w:r>
        <w:rPr>
          <w:rFonts w:eastAsia="Arial" w:cs="Arial" w:ascii="Arial" w:hAnsi="Arial"/>
          <w:sz w:val="20"/>
          <w:szCs w:val="20"/>
        </w:rPr>
      </w:r>
    </w:p>
    <w:p>
      <w:pPr>
        <w:pStyle w:val="normal1"/>
        <w:rPr>
          <w:rFonts w:ascii="Arial" w:hAnsi="Arial" w:eastAsia="Arial" w:cs="Arial"/>
          <w:sz w:val="20"/>
          <w:szCs w:val="20"/>
        </w:rPr>
      </w:pPr>
      <w:r>
        <w:rPr>
          <w:rFonts w:eastAsia="Arial" w:cs="Arial" w:ascii="Arial" w:hAnsi="Arial"/>
          <w:sz w:val="20"/>
          <w:szCs w:val="20"/>
        </w:rPr>
        <w:t>10. Backup, Business Continuity and Disaster Recovery</w:t>
      </w:r>
    </w:p>
    <w:p>
      <w:pPr>
        <w:pStyle w:val="normal1"/>
        <w:rPr>
          <w:rFonts w:ascii="Arial" w:hAnsi="Arial" w:eastAsia="Arial" w:cs="Arial"/>
          <w:sz w:val="20"/>
          <w:szCs w:val="20"/>
        </w:rPr>
      </w:pPr>
      <w:r>
        <w:rPr>
          <w:rFonts w:eastAsia="Arial" w:cs="Arial" w:ascii="Arial" w:hAnsi="Arial"/>
          <w:sz w:val="20"/>
          <w:szCs w:val="20"/>
        </w:rPr>
        <w:t>10.1 The Vendor performs regular backups of Company Personal Data and/or systems that store such data, with frequency appropriate to the nature of the Services and data.</w:t>
      </w:r>
    </w:p>
    <w:p>
      <w:pPr>
        <w:pStyle w:val="normal1"/>
        <w:rPr>
          <w:rFonts w:ascii="Arial" w:hAnsi="Arial" w:eastAsia="Arial" w:cs="Arial"/>
          <w:sz w:val="20"/>
          <w:szCs w:val="20"/>
        </w:rPr>
      </w:pPr>
      <w:r>
        <w:rPr>
          <w:rFonts w:eastAsia="Arial" w:cs="Arial" w:ascii="Arial" w:hAnsi="Arial"/>
          <w:sz w:val="20"/>
          <w:szCs w:val="20"/>
        </w:rPr>
        <w:t>10.2 Backups are stored securely and, where appropriate, encrypted and/or geographically separated to increase resilience.</w:t>
      </w:r>
    </w:p>
    <w:p>
      <w:pPr>
        <w:pStyle w:val="normal1"/>
        <w:rPr>
          <w:rFonts w:ascii="Arial" w:hAnsi="Arial" w:eastAsia="Arial" w:cs="Arial"/>
          <w:sz w:val="20"/>
          <w:szCs w:val="20"/>
        </w:rPr>
      </w:pPr>
      <w:r>
        <w:rPr>
          <w:rFonts w:eastAsia="Arial" w:cs="Arial" w:ascii="Arial" w:hAnsi="Arial"/>
          <w:sz w:val="20"/>
          <w:szCs w:val="20"/>
        </w:rPr>
        <w:t>10.3 The Vendor maintains and periodically tests business continuity and disaster recovery capabilities (e.g. documented procedures, recovery time objectives, restoration testing) to enable timely restoration of availability and access to Company Personal Data in the event of a physical or technical incident.</w:t>
      </w:r>
    </w:p>
    <w:p>
      <w:pPr>
        <w:pStyle w:val="normal1"/>
        <w:rPr>
          <w:rFonts w:ascii="Arial" w:hAnsi="Arial" w:eastAsia="Arial" w:cs="Arial"/>
          <w:sz w:val="20"/>
          <w:szCs w:val="20"/>
        </w:rPr>
      </w:pPr>
      <w:r>
        <w:rPr>
          <w:rFonts w:eastAsia="Arial" w:cs="Arial" w:ascii="Arial" w:hAnsi="Arial"/>
          <w:sz w:val="20"/>
          <w:szCs w:val="20"/>
        </w:rPr>
      </w:r>
    </w:p>
    <w:p>
      <w:pPr>
        <w:pStyle w:val="normal1"/>
        <w:rPr>
          <w:rFonts w:ascii="Arial" w:hAnsi="Arial" w:eastAsia="Arial" w:cs="Arial"/>
          <w:sz w:val="20"/>
          <w:szCs w:val="20"/>
        </w:rPr>
      </w:pPr>
      <w:r>
        <w:rPr>
          <w:rFonts w:eastAsia="Arial" w:cs="Arial" w:ascii="Arial" w:hAnsi="Arial"/>
          <w:sz w:val="20"/>
          <w:szCs w:val="20"/>
        </w:rPr>
        <w:t>11. Change and Configuration Management</w:t>
      </w:r>
    </w:p>
    <w:p>
      <w:pPr>
        <w:pStyle w:val="normal1"/>
        <w:rPr>
          <w:rFonts w:ascii="Arial" w:hAnsi="Arial" w:eastAsia="Arial" w:cs="Arial"/>
          <w:sz w:val="20"/>
          <w:szCs w:val="20"/>
        </w:rPr>
      </w:pPr>
      <w:r>
        <w:rPr>
          <w:rFonts w:eastAsia="Arial" w:cs="Arial" w:ascii="Arial" w:hAnsi="Arial"/>
          <w:sz w:val="20"/>
          <w:szCs w:val="20"/>
        </w:rPr>
        <w:t>11.1 The Vendor applies a documented change management process for systems and applications processing Company Personal Data, including assessment, approval and testing of changes before deployment.</w:t>
      </w:r>
    </w:p>
    <w:p>
      <w:pPr>
        <w:pStyle w:val="normal1"/>
        <w:rPr>
          <w:rFonts w:ascii="Arial" w:hAnsi="Arial" w:eastAsia="Arial" w:cs="Arial"/>
          <w:sz w:val="20"/>
          <w:szCs w:val="20"/>
        </w:rPr>
      </w:pPr>
      <w:r>
        <w:rPr>
          <w:rFonts w:eastAsia="Arial" w:cs="Arial" w:ascii="Arial" w:hAnsi="Arial"/>
          <w:sz w:val="20"/>
          <w:szCs w:val="20"/>
        </w:rPr>
        <w:t>11.2 Configuration changes are tracked and, where appropriate, rolled back in case of issues. Standard secure configuration baselines are maintained and updated over time.</w:t>
      </w:r>
    </w:p>
    <w:p>
      <w:pPr>
        <w:pStyle w:val="normal1"/>
        <w:rPr>
          <w:rFonts w:ascii="Arial" w:hAnsi="Arial" w:eastAsia="Arial" w:cs="Arial"/>
          <w:sz w:val="20"/>
          <w:szCs w:val="20"/>
        </w:rPr>
      </w:pPr>
      <w:r>
        <w:rPr>
          <w:rFonts w:eastAsia="Arial" w:cs="Arial" w:ascii="Arial" w:hAnsi="Arial"/>
          <w:sz w:val="20"/>
          <w:szCs w:val="20"/>
        </w:rPr>
        <w:t>11.3 Software development follows secure development practices, including consideration of security requirements, code reviews and testing (including security testing where appropriate).</w:t>
      </w:r>
    </w:p>
    <w:p>
      <w:pPr>
        <w:pStyle w:val="normal1"/>
        <w:rPr>
          <w:rFonts w:ascii="Arial" w:hAnsi="Arial" w:eastAsia="Arial" w:cs="Arial"/>
          <w:sz w:val="20"/>
          <w:szCs w:val="20"/>
        </w:rPr>
      </w:pPr>
      <w:r>
        <w:rPr>
          <w:rFonts w:eastAsia="Arial" w:cs="Arial" w:ascii="Arial" w:hAnsi="Arial"/>
          <w:sz w:val="20"/>
          <w:szCs w:val="20"/>
        </w:rPr>
      </w:r>
    </w:p>
    <w:p>
      <w:pPr>
        <w:pStyle w:val="normal1"/>
        <w:rPr>
          <w:rFonts w:ascii="Arial" w:hAnsi="Arial" w:eastAsia="Arial" w:cs="Arial"/>
          <w:sz w:val="20"/>
          <w:szCs w:val="20"/>
        </w:rPr>
      </w:pPr>
      <w:r>
        <w:rPr>
          <w:rFonts w:eastAsia="Arial" w:cs="Arial" w:ascii="Arial" w:hAnsi="Arial"/>
          <w:sz w:val="20"/>
          <w:szCs w:val="20"/>
        </w:rPr>
        <w:t>12. Management of Subprocessors and Third-party Providers</w:t>
      </w:r>
    </w:p>
    <w:p>
      <w:pPr>
        <w:pStyle w:val="normal1"/>
        <w:rPr>
          <w:rFonts w:ascii="Arial" w:hAnsi="Arial" w:eastAsia="Arial" w:cs="Arial"/>
          <w:sz w:val="20"/>
          <w:szCs w:val="20"/>
        </w:rPr>
      </w:pPr>
      <w:r>
        <w:rPr>
          <w:rFonts w:eastAsia="Arial" w:cs="Arial" w:ascii="Arial" w:hAnsi="Arial"/>
          <w:sz w:val="20"/>
          <w:szCs w:val="20"/>
        </w:rPr>
        <w:t>12.1 The Vendor assesses the security posture of Subprocessors and other relevant third-party providers before engagement and periodically thereafter, in line with the DPA’s Subprocessing and Transfer Mechanisms clauses.</w:t>
      </w:r>
    </w:p>
    <w:p>
      <w:pPr>
        <w:pStyle w:val="normal1"/>
        <w:rPr>
          <w:rFonts w:ascii="Arial" w:hAnsi="Arial" w:eastAsia="Arial" w:cs="Arial"/>
          <w:sz w:val="20"/>
          <w:szCs w:val="20"/>
        </w:rPr>
      </w:pPr>
      <w:r>
        <w:rPr>
          <w:rFonts w:eastAsia="Arial" w:cs="Arial" w:ascii="Arial" w:hAnsi="Arial"/>
          <w:sz w:val="20"/>
          <w:szCs w:val="20"/>
        </w:rPr>
        <w:t>12.2 Subprocessors that process Company Personal Data are bound by written agreements imposing data protection and security obligations no less protective than those imposed on the Vendor under the DPA and, where applicable, the Standard Contractual Clauses.</w:t>
      </w:r>
    </w:p>
    <w:p>
      <w:pPr>
        <w:pStyle w:val="normal1"/>
        <w:rPr>
          <w:rFonts w:ascii="Arial" w:hAnsi="Arial" w:eastAsia="Arial" w:cs="Arial"/>
          <w:sz w:val="20"/>
          <w:szCs w:val="20"/>
        </w:rPr>
      </w:pPr>
      <w:r>
        <w:rPr>
          <w:rFonts w:eastAsia="Arial" w:cs="Arial" w:ascii="Arial" w:hAnsi="Arial"/>
          <w:sz w:val="20"/>
          <w:szCs w:val="20"/>
        </w:rPr>
        <w:t>12.3 Where transfers of Company Personal Data to Subprocessors outside the EEA occur, the Vendor ensures the implementation of Appropriate Safeguards, including, where applicable, the Standard Contractual Clauses pursuant to Commission Implementing Decision (EU) 2021/914.</w:t>
      </w:r>
    </w:p>
    <w:p>
      <w:pPr>
        <w:pStyle w:val="normal1"/>
        <w:rPr>
          <w:rFonts w:ascii="Arial" w:hAnsi="Arial" w:eastAsia="Arial" w:cs="Arial"/>
          <w:sz w:val="20"/>
          <w:szCs w:val="20"/>
        </w:rPr>
      </w:pPr>
      <w:r>
        <w:rPr>
          <w:rFonts w:eastAsia="Arial" w:cs="Arial" w:ascii="Arial" w:hAnsi="Arial"/>
          <w:sz w:val="20"/>
          <w:szCs w:val="20"/>
        </w:rPr>
      </w:r>
    </w:p>
    <w:p>
      <w:pPr>
        <w:pStyle w:val="normal1"/>
        <w:rPr>
          <w:rFonts w:ascii="Arial" w:hAnsi="Arial" w:eastAsia="Arial" w:cs="Arial"/>
          <w:sz w:val="20"/>
          <w:szCs w:val="20"/>
        </w:rPr>
      </w:pPr>
      <w:r>
        <w:rPr>
          <w:rFonts w:eastAsia="Arial" w:cs="Arial" w:ascii="Arial" w:hAnsi="Arial"/>
          <w:sz w:val="20"/>
          <w:szCs w:val="20"/>
        </w:rPr>
        <w:t>13. Security Incident Management and Personal Data Breaches</w:t>
      </w:r>
    </w:p>
    <w:p>
      <w:pPr>
        <w:pStyle w:val="normal1"/>
        <w:rPr>
          <w:rFonts w:ascii="Arial" w:hAnsi="Arial" w:eastAsia="Arial" w:cs="Arial"/>
          <w:sz w:val="20"/>
          <w:szCs w:val="20"/>
        </w:rPr>
      </w:pPr>
      <w:r>
        <w:rPr>
          <w:rFonts w:eastAsia="Arial" w:cs="Arial" w:ascii="Arial" w:hAnsi="Arial"/>
          <w:sz w:val="20"/>
          <w:szCs w:val="20"/>
        </w:rPr>
        <w:t>13.1 The Vendor maintains documented procedures for detecting, reporting, managing and resolving information security incidents, including Personal Data Breaches.</w:t>
      </w:r>
    </w:p>
    <w:p>
      <w:pPr>
        <w:pStyle w:val="normal1"/>
        <w:rPr>
          <w:rFonts w:ascii="Arial" w:hAnsi="Arial" w:eastAsia="Arial" w:cs="Arial"/>
          <w:sz w:val="20"/>
          <w:szCs w:val="20"/>
        </w:rPr>
      </w:pPr>
      <w:r>
        <w:rPr>
          <w:rFonts w:eastAsia="Arial" w:cs="Arial" w:ascii="Arial" w:hAnsi="Arial"/>
          <w:sz w:val="20"/>
          <w:szCs w:val="20"/>
        </w:rPr>
        <w:t>13.2 In the event of a Personal Data Breach affecting Company Personal Data, the Vendor will notify the Company and cooperate with the Company in accordance with the Personal Data Breach clause in the DPA (including the applicable notification timeframe) and any obligations under the Standard Contractual Clauses.</w:t>
      </w:r>
    </w:p>
    <w:p>
      <w:pPr>
        <w:pStyle w:val="normal1"/>
        <w:rPr>
          <w:rFonts w:ascii="Arial" w:hAnsi="Arial" w:eastAsia="Arial" w:cs="Arial"/>
          <w:sz w:val="20"/>
          <w:szCs w:val="20"/>
        </w:rPr>
      </w:pPr>
      <w:r>
        <w:rPr>
          <w:rFonts w:eastAsia="Arial" w:cs="Arial" w:ascii="Arial" w:hAnsi="Arial"/>
          <w:sz w:val="20"/>
          <w:szCs w:val="20"/>
        </w:rPr>
        <w:t>13.3 The Vendor documents security incidents and breaches, including their root cause, impact and remedial actions, and uses such information to improve its security controls on an ongoing basis.</w:t>
      </w:r>
    </w:p>
    <w:p>
      <w:pPr>
        <w:pStyle w:val="normal1"/>
        <w:rPr>
          <w:rFonts w:ascii="Arial" w:hAnsi="Arial" w:eastAsia="Arial" w:cs="Arial"/>
          <w:sz w:val="20"/>
          <w:szCs w:val="20"/>
        </w:rPr>
      </w:pPr>
      <w:r>
        <w:rPr>
          <w:rFonts w:eastAsia="Arial" w:cs="Arial" w:ascii="Arial" w:hAnsi="Arial"/>
          <w:sz w:val="20"/>
          <w:szCs w:val="20"/>
        </w:rPr>
      </w:r>
    </w:p>
    <w:p>
      <w:pPr>
        <w:pStyle w:val="normal1"/>
        <w:rPr>
          <w:rFonts w:ascii="Arial" w:hAnsi="Arial" w:eastAsia="Arial" w:cs="Arial"/>
          <w:sz w:val="20"/>
          <w:szCs w:val="20"/>
        </w:rPr>
      </w:pPr>
      <w:r>
        <w:rPr>
          <w:rFonts w:eastAsia="Arial" w:cs="Arial" w:ascii="Arial" w:hAnsi="Arial"/>
          <w:sz w:val="20"/>
          <w:szCs w:val="20"/>
        </w:rPr>
        <w:t>14. Data Protection by Design and by Default; Data Minimisation</w:t>
      </w:r>
    </w:p>
    <w:p>
      <w:pPr>
        <w:pStyle w:val="normal1"/>
        <w:rPr>
          <w:rFonts w:ascii="Arial" w:hAnsi="Arial" w:eastAsia="Arial" w:cs="Arial"/>
          <w:sz w:val="20"/>
          <w:szCs w:val="20"/>
        </w:rPr>
      </w:pPr>
      <w:r>
        <w:rPr>
          <w:rFonts w:eastAsia="Arial" w:cs="Arial" w:ascii="Arial" w:hAnsi="Arial"/>
          <w:sz w:val="20"/>
          <w:szCs w:val="20"/>
        </w:rPr>
        <w:t>14.1 The Vendor incorporates data protection by design and by default into the design, development and operation of the Services, including limitation of access to Company Personal Data to what is necessary for the purposes of Processing.</w:t>
      </w:r>
    </w:p>
    <w:p>
      <w:pPr>
        <w:pStyle w:val="normal1"/>
        <w:rPr>
          <w:rFonts w:ascii="Arial" w:hAnsi="Arial" w:eastAsia="Arial" w:cs="Arial"/>
          <w:sz w:val="20"/>
          <w:szCs w:val="20"/>
        </w:rPr>
      </w:pPr>
      <w:r>
        <w:rPr>
          <w:rFonts w:eastAsia="Arial" w:cs="Arial" w:ascii="Arial" w:hAnsi="Arial"/>
          <w:sz w:val="20"/>
          <w:szCs w:val="20"/>
        </w:rPr>
        <w:t>14.2 The Vendor implements measures to support data minimisation, storage limitation and accuracy, including controls over data collection, retention periods and deletion routines.</w:t>
      </w:r>
    </w:p>
    <w:p>
      <w:pPr>
        <w:pStyle w:val="normal1"/>
        <w:rPr>
          <w:rFonts w:ascii="Arial" w:hAnsi="Arial" w:eastAsia="Arial" w:cs="Arial"/>
          <w:sz w:val="20"/>
          <w:szCs w:val="20"/>
        </w:rPr>
      </w:pPr>
      <w:r>
        <w:rPr>
          <w:rFonts w:eastAsia="Arial" w:cs="Arial" w:ascii="Arial" w:hAnsi="Arial"/>
          <w:sz w:val="20"/>
          <w:szCs w:val="20"/>
        </w:rPr>
        <w:t>14.3 Retention periods for Company Personal Data are aligned with the DPA and the Principal Agreement. Upon termination of the Services or upon the Company’s instruction, Company Personal Data is deleted or returned in accordance with the Deletion or Return of Company Personal Data clause in the DPA.</w:t>
      </w:r>
    </w:p>
    <w:p>
      <w:pPr>
        <w:pStyle w:val="normal1"/>
        <w:rPr>
          <w:rFonts w:ascii="Arial" w:hAnsi="Arial" w:eastAsia="Arial" w:cs="Arial"/>
          <w:sz w:val="20"/>
          <w:szCs w:val="20"/>
        </w:rPr>
      </w:pPr>
      <w:r>
        <w:rPr>
          <w:rFonts w:eastAsia="Arial" w:cs="Arial" w:ascii="Arial" w:hAnsi="Arial"/>
          <w:sz w:val="20"/>
          <w:szCs w:val="20"/>
        </w:rPr>
      </w:r>
    </w:p>
    <w:p>
      <w:pPr>
        <w:pStyle w:val="normal1"/>
        <w:rPr>
          <w:rFonts w:ascii="Arial" w:hAnsi="Arial" w:eastAsia="Arial" w:cs="Arial"/>
          <w:sz w:val="20"/>
          <w:szCs w:val="20"/>
        </w:rPr>
      </w:pPr>
      <w:r>
        <w:rPr>
          <w:rFonts w:eastAsia="Arial" w:cs="Arial" w:ascii="Arial" w:hAnsi="Arial"/>
          <w:sz w:val="20"/>
          <w:szCs w:val="20"/>
        </w:rPr>
      </w:r>
    </w:p>
    <w:p>
      <w:pPr>
        <w:pStyle w:val="normal1"/>
        <w:rPr>
          <w:rFonts w:ascii="Arial" w:hAnsi="Arial" w:eastAsia="Arial" w:cs="Arial"/>
          <w:sz w:val="20"/>
          <w:szCs w:val="20"/>
        </w:rPr>
      </w:pPr>
      <w:r>
        <w:rPr>
          <w:rFonts w:eastAsia="Arial" w:cs="Arial" w:ascii="Arial" w:hAnsi="Arial"/>
          <w:sz w:val="20"/>
          <w:szCs w:val="20"/>
        </w:rPr>
      </w:r>
    </w:p>
    <w:p>
      <w:pPr>
        <w:pStyle w:val="normal1"/>
        <w:rPr>
          <w:rFonts w:ascii="Arial" w:hAnsi="Arial" w:eastAsia="Arial" w:cs="Arial"/>
          <w:sz w:val="20"/>
          <w:szCs w:val="20"/>
        </w:rPr>
      </w:pPr>
      <w:r>
        <w:rPr>
          <w:rFonts w:eastAsia="Arial" w:cs="Arial" w:ascii="Arial" w:hAnsi="Arial"/>
          <w:sz w:val="20"/>
          <w:szCs w:val="20"/>
        </w:rPr>
      </w:r>
    </w:p>
    <w:p>
      <w:pPr>
        <w:pStyle w:val="normal1"/>
        <w:rPr>
          <w:rFonts w:ascii="Arial" w:hAnsi="Arial" w:eastAsia="Arial" w:cs="Arial"/>
          <w:sz w:val="20"/>
          <w:szCs w:val="20"/>
        </w:rPr>
      </w:pPr>
      <w:r>
        <w:rPr>
          <w:rFonts w:eastAsia="Arial" w:cs="Arial" w:ascii="Arial" w:hAnsi="Arial"/>
          <w:sz w:val="20"/>
          <w:szCs w:val="20"/>
        </w:rPr>
        <w:t>B. TECHNICAL AND ORGANISATIONAL MEASURES TO ASSIST THE COMPANY IN RESPONDING TO DATA SUBJECT REQUESTS</w:t>
      </w:r>
    </w:p>
    <w:p>
      <w:pPr>
        <w:pStyle w:val="normal1"/>
        <w:rPr>
          <w:rFonts w:ascii="Arial" w:hAnsi="Arial" w:eastAsia="Arial" w:cs="Arial"/>
          <w:sz w:val="20"/>
          <w:szCs w:val="20"/>
        </w:rPr>
      </w:pPr>
      <w:r>
        <w:rPr>
          <w:rFonts w:eastAsia="Arial" w:cs="Arial" w:ascii="Arial" w:hAnsi="Arial"/>
          <w:sz w:val="20"/>
          <w:szCs w:val="20"/>
        </w:rPr>
        <w:t>Without prejudice to the Data Subject Rights clause in the DPA, the Vendor implements the following measures to assist the Company in fulfilling its obligations to respond to requests from Data Subjects under Chapter III GDPR:</w:t>
      </w:r>
    </w:p>
    <w:p>
      <w:pPr>
        <w:pStyle w:val="normal1"/>
        <w:rPr>
          <w:rFonts w:ascii="Arial" w:hAnsi="Arial" w:eastAsia="Arial" w:cs="Arial"/>
          <w:sz w:val="20"/>
          <w:szCs w:val="20"/>
        </w:rPr>
      </w:pPr>
      <w:r>
        <w:rPr>
          <w:rFonts w:eastAsia="Arial" w:cs="Arial" w:ascii="Arial" w:hAnsi="Arial"/>
          <w:sz w:val="20"/>
          <w:szCs w:val="20"/>
        </w:rPr>
      </w:r>
    </w:p>
    <w:p>
      <w:pPr>
        <w:pStyle w:val="normal1"/>
        <w:rPr>
          <w:rFonts w:ascii="Arial" w:hAnsi="Arial" w:eastAsia="Arial" w:cs="Arial"/>
          <w:sz w:val="20"/>
          <w:szCs w:val="20"/>
        </w:rPr>
      </w:pPr>
      <w:r>
        <w:rPr>
          <w:rFonts w:eastAsia="Arial" w:cs="Arial" w:ascii="Arial" w:hAnsi="Arial"/>
          <w:sz w:val="20"/>
          <w:szCs w:val="20"/>
        </w:rPr>
        <w:t>1. Processes and Responsibilities</w:t>
      </w:r>
    </w:p>
    <w:p>
      <w:pPr>
        <w:pStyle w:val="normal1"/>
        <w:rPr>
          <w:rFonts w:ascii="Arial" w:hAnsi="Arial" w:eastAsia="Arial" w:cs="Arial"/>
          <w:sz w:val="20"/>
          <w:szCs w:val="20"/>
        </w:rPr>
      </w:pPr>
      <w:r>
        <w:rPr>
          <w:rFonts w:eastAsia="Arial" w:cs="Arial" w:ascii="Arial" w:hAnsi="Arial"/>
          <w:sz w:val="20"/>
          <w:szCs w:val="20"/>
        </w:rPr>
        <w:t>1.1 The Vendor maintains documented procedures for handling requests relating to Data Subjects’ rights where such requests are addressed to the Vendor or its Subprocessors in relation to Company Personal Data.</w:t>
      </w:r>
    </w:p>
    <w:p>
      <w:pPr>
        <w:pStyle w:val="normal1"/>
        <w:rPr>
          <w:rFonts w:ascii="Arial" w:hAnsi="Arial" w:eastAsia="Arial" w:cs="Arial"/>
          <w:sz w:val="20"/>
          <w:szCs w:val="20"/>
        </w:rPr>
      </w:pPr>
      <w:r>
        <w:rPr>
          <w:rFonts w:eastAsia="Arial" w:cs="Arial" w:ascii="Arial" w:hAnsi="Arial"/>
          <w:sz w:val="20"/>
          <w:szCs w:val="20"/>
        </w:rPr>
        <w:t>1.2 Personnel are trained to recognise Data Subject Requests and to escalate them internally without undue delay in accordance with the DPA.</w:t>
      </w:r>
    </w:p>
    <w:p>
      <w:pPr>
        <w:pStyle w:val="normal1"/>
        <w:rPr>
          <w:rFonts w:ascii="Arial" w:hAnsi="Arial" w:eastAsia="Arial" w:cs="Arial"/>
          <w:sz w:val="20"/>
          <w:szCs w:val="20"/>
        </w:rPr>
      </w:pPr>
      <w:r>
        <w:rPr>
          <w:rFonts w:eastAsia="Arial" w:cs="Arial" w:ascii="Arial" w:hAnsi="Arial"/>
          <w:sz w:val="20"/>
          <w:szCs w:val="20"/>
        </w:rPr>
      </w:r>
    </w:p>
    <w:p>
      <w:pPr>
        <w:pStyle w:val="normal1"/>
        <w:rPr>
          <w:rFonts w:ascii="Arial" w:hAnsi="Arial" w:eastAsia="Arial" w:cs="Arial"/>
          <w:sz w:val="20"/>
          <w:szCs w:val="20"/>
        </w:rPr>
      </w:pPr>
      <w:r>
        <w:rPr>
          <w:rFonts w:eastAsia="Arial" w:cs="Arial" w:ascii="Arial" w:hAnsi="Arial"/>
          <w:sz w:val="20"/>
          <w:szCs w:val="20"/>
        </w:rPr>
        <w:t>2. Identification and Routing of Requests</w:t>
      </w:r>
    </w:p>
    <w:p>
      <w:pPr>
        <w:pStyle w:val="normal1"/>
        <w:rPr>
          <w:rFonts w:ascii="Arial" w:hAnsi="Arial" w:eastAsia="Arial" w:cs="Arial"/>
          <w:sz w:val="20"/>
          <w:szCs w:val="20"/>
        </w:rPr>
      </w:pPr>
      <w:r>
        <w:rPr>
          <w:rFonts w:eastAsia="Arial" w:cs="Arial" w:ascii="Arial" w:hAnsi="Arial"/>
          <w:sz w:val="20"/>
          <w:szCs w:val="20"/>
        </w:rPr>
        <w:t>2.1 Where the Vendor receives a Data Subject Request that relates to Company Personal Data, the Vendor has processes in place to:</w:t>
      </w:r>
    </w:p>
    <w:p>
      <w:pPr>
        <w:pStyle w:val="normal1"/>
        <w:rPr>
          <w:rFonts w:ascii="Arial" w:hAnsi="Arial" w:eastAsia="Arial" w:cs="Arial"/>
          <w:sz w:val="20"/>
          <w:szCs w:val="20"/>
        </w:rPr>
      </w:pPr>
      <w:r>
        <w:rPr>
          <w:rFonts w:eastAsia="Arial" w:cs="Arial" w:ascii="Arial" w:hAnsi="Arial"/>
          <w:sz w:val="20"/>
          <w:szCs w:val="20"/>
        </w:rPr>
        <w:t>(a) identify that the request concerns Company Personal Data processed under the DPA; and</w:t>
      </w:r>
    </w:p>
    <w:p>
      <w:pPr>
        <w:pStyle w:val="normal1"/>
        <w:rPr>
          <w:rFonts w:ascii="Arial" w:hAnsi="Arial" w:eastAsia="Arial" w:cs="Arial"/>
          <w:sz w:val="20"/>
          <w:szCs w:val="20"/>
        </w:rPr>
      </w:pPr>
      <w:r>
        <w:rPr>
          <w:rFonts w:eastAsia="Arial" w:cs="Arial" w:ascii="Arial" w:hAnsi="Arial"/>
          <w:sz w:val="20"/>
          <w:szCs w:val="20"/>
        </w:rPr>
        <w:t>(b) route the request promptly to the appropriate internal team for handling and to notify the Company within the timeframe set out in the DPA.</w:t>
      </w:r>
    </w:p>
    <w:p>
      <w:pPr>
        <w:pStyle w:val="normal1"/>
        <w:rPr>
          <w:rFonts w:ascii="Arial" w:hAnsi="Arial" w:eastAsia="Arial" w:cs="Arial"/>
          <w:sz w:val="20"/>
          <w:szCs w:val="20"/>
        </w:rPr>
      </w:pPr>
      <w:r>
        <w:rPr>
          <w:rFonts w:eastAsia="Arial" w:cs="Arial" w:ascii="Arial" w:hAnsi="Arial"/>
          <w:sz w:val="20"/>
          <w:szCs w:val="20"/>
        </w:rPr>
        <w:t>2.2 The Vendor does not respond directly to Data Subjects except on the documented instructions of the Company or where required by applicable law, in accordance with the DPA.</w:t>
      </w:r>
    </w:p>
    <w:p>
      <w:pPr>
        <w:pStyle w:val="normal1"/>
        <w:rPr>
          <w:rFonts w:ascii="Arial" w:hAnsi="Arial" w:eastAsia="Arial" w:cs="Arial"/>
          <w:sz w:val="20"/>
          <w:szCs w:val="20"/>
        </w:rPr>
      </w:pPr>
      <w:r>
        <w:rPr>
          <w:rFonts w:eastAsia="Arial" w:cs="Arial" w:ascii="Arial" w:hAnsi="Arial"/>
          <w:sz w:val="20"/>
          <w:szCs w:val="20"/>
        </w:rPr>
      </w:r>
    </w:p>
    <w:p>
      <w:pPr>
        <w:pStyle w:val="normal1"/>
        <w:rPr>
          <w:rFonts w:ascii="Arial" w:hAnsi="Arial" w:eastAsia="Arial" w:cs="Arial"/>
          <w:sz w:val="20"/>
          <w:szCs w:val="20"/>
        </w:rPr>
      </w:pPr>
      <w:r>
        <w:rPr>
          <w:rFonts w:eastAsia="Arial" w:cs="Arial" w:ascii="Arial" w:hAnsi="Arial"/>
          <w:sz w:val="20"/>
          <w:szCs w:val="20"/>
        </w:rPr>
        <w:t>3. Technical Capabilities to Support Data Subject Rights</w:t>
      </w:r>
    </w:p>
    <w:p>
      <w:pPr>
        <w:pStyle w:val="normal1"/>
        <w:rPr>
          <w:rFonts w:ascii="Arial" w:hAnsi="Arial" w:eastAsia="Arial" w:cs="Arial"/>
          <w:sz w:val="20"/>
          <w:szCs w:val="20"/>
        </w:rPr>
      </w:pPr>
      <w:r>
        <w:rPr>
          <w:rFonts w:eastAsia="Arial" w:cs="Arial" w:ascii="Arial" w:hAnsi="Arial"/>
          <w:sz w:val="20"/>
          <w:szCs w:val="20"/>
        </w:rPr>
        <w:t>3.1 The Vendor maintains technical capabilities and/or administrative tools enabling, to the extent technically feasible and relevant for the Services, the following actions in relation to Company Personal Data:</w:t>
      </w:r>
    </w:p>
    <w:p>
      <w:pPr>
        <w:pStyle w:val="normal1"/>
        <w:rPr>
          <w:rFonts w:ascii="Arial" w:hAnsi="Arial" w:eastAsia="Arial" w:cs="Arial"/>
          <w:sz w:val="20"/>
          <w:szCs w:val="20"/>
        </w:rPr>
      </w:pPr>
      <w:r>
        <w:rPr>
          <w:rFonts w:eastAsia="Arial" w:cs="Arial" w:ascii="Arial" w:hAnsi="Arial"/>
          <w:sz w:val="20"/>
          <w:szCs w:val="20"/>
        </w:rPr>
        <w:t>(a) locating and retrieving records relating to an identified Data Subject (to support access requests);</w:t>
      </w:r>
    </w:p>
    <w:p>
      <w:pPr>
        <w:pStyle w:val="normal1"/>
        <w:rPr>
          <w:rFonts w:ascii="Arial" w:hAnsi="Arial" w:eastAsia="Arial" w:cs="Arial"/>
          <w:sz w:val="20"/>
          <w:szCs w:val="20"/>
        </w:rPr>
      </w:pPr>
      <w:r>
        <w:rPr>
          <w:rFonts w:eastAsia="Arial" w:cs="Arial" w:ascii="Arial" w:hAnsi="Arial"/>
          <w:sz w:val="20"/>
          <w:szCs w:val="20"/>
        </w:rPr>
        <w:t>(b) rectifying or updating data (to support rectification requests);</w:t>
      </w:r>
    </w:p>
    <w:p>
      <w:pPr>
        <w:pStyle w:val="normal1"/>
        <w:rPr>
          <w:rFonts w:ascii="Arial" w:hAnsi="Arial" w:eastAsia="Arial" w:cs="Arial"/>
          <w:sz w:val="20"/>
          <w:szCs w:val="20"/>
        </w:rPr>
      </w:pPr>
      <w:r>
        <w:rPr>
          <w:rFonts w:eastAsia="Arial" w:cs="Arial" w:ascii="Arial" w:hAnsi="Arial"/>
          <w:sz w:val="20"/>
          <w:szCs w:val="20"/>
        </w:rPr>
        <w:t>(c) restricting certain Processing operations (e.g. by disabling accounts, suspending processing or applying flags), where supported by the Services;</w:t>
      </w:r>
    </w:p>
    <w:p>
      <w:pPr>
        <w:pStyle w:val="normal1"/>
        <w:rPr>
          <w:rFonts w:ascii="Arial" w:hAnsi="Arial" w:eastAsia="Arial" w:cs="Arial"/>
          <w:sz w:val="20"/>
          <w:szCs w:val="20"/>
        </w:rPr>
      </w:pPr>
      <w:r>
        <w:rPr>
          <w:rFonts w:eastAsia="Arial" w:cs="Arial" w:ascii="Arial" w:hAnsi="Arial"/>
          <w:sz w:val="20"/>
          <w:szCs w:val="20"/>
        </w:rPr>
        <w:t>(d) deleting or anonymising data (to support erasure requests) in accordance with the DPA and the Principal Agreement;</w:t>
      </w:r>
    </w:p>
    <w:p>
      <w:pPr>
        <w:pStyle w:val="normal1"/>
        <w:rPr>
          <w:rFonts w:ascii="Arial" w:hAnsi="Arial" w:eastAsia="Arial" w:cs="Arial"/>
          <w:sz w:val="20"/>
          <w:szCs w:val="20"/>
        </w:rPr>
      </w:pPr>
      <w:r>
        <w:rPr>
          <w:rFonts w:eastAsia="Arial" w:cs="Arial" w:ascii="Arial" w:hAnsi="Arial"/>
          <w:sz w:val="20"/>
          <w:szCs w:val="20"/>
        </w:rPr>
        <w:t>(e) exporting data in a structured, commonly used and machine-readable format, where technically feasible and relevant to the Services (to support data portability).</w:t>
      </w:r>
    </w:p>
    <w:p>
      <w:pPr>
        <w:pStyle w:val="normal1"/>
        <w:rPr>
          <w:rFonts w:ascii="Arial" w:hAnsi="Arial" w:eastAsia="Arial" w:cs="Arial"/>
          <w:sz w:val="20"/>
          <w:szCs w:val="20"/>
        </w:rPr>
      </w:pPr>
      <w:r>
        <w:rPr>
          <w:rFonts w:eastAsia="Arial" w:cs="Arial" w:ascii="Arial" w:hAnsi="Arial"/>
          <w:sz w:val="20"/>
          <w:szCs w:val="20"/>
        </w:rPr>
        <w:t>3.2 The Vendor implements access controls and logging for administrative actions performed in connection with Data Subject Requests in order to support accountability and auditability.</w:t>
      </w:r>
    </w:p>
    <w:p>
      <w:pPr>
        <w:pStyle w:val="normal1"/>
        <w:rPr>
          <w:rFonts w:ascii="Arial" w:hAnsi="Arial" w:eastAsia="Arial" w:cs="Arial"/>
          <w:sz w:val="20"/>
          <w:szCs w:val="20"/>
        </w:rPr>
      </w:pPr>
      <w:r>
        <w:rPr>
          <w:rFonts w:eastAsia="Arial" w:cs="Arial" w:ascii="Arial" w:hAnsi="Arial"/>
          <w:sz w:val="20"/>
          <w:szCs w:val="20"/>
        </w:rPr>
      </w:r>
    </w:p>
    <w:p>
      <w:pPr>
        <w:pStyle w:val="normal1"/>
        <w:rPr>
          <w:rFonts w:ascii="Arial" w:hAnsi="Arial" w:eastAsia="Arial" w:cs="Arial"/>
          <w:sz w:val="20"/>
          <w:szCs w:val="20"/>
        </w:rPr>
      </w:pPr>
      <w:r>
        <w:rPr>
          <w:rFonts w:eastAsia="Arial" w:cs="Arial" w:ascii="Arial" w:hAnsi="Arial"/>
          <w:sz w:val="20"/>
          <w:szCs w:val="20"/>
        </w:rPr>
        <w:t>4. Cooperation with the Company</w:t>
      </w:r>
    </w:p>
    <w:p>
      <w:pPr>
        <w:pStyle w:val="normal1"/>
        <w:rPr>
          <w:rFonts w:ascii="Arial" w:hAnsi="Arial" w:eastAsia="Arial" w:cs="Arial"/>
          <w:sz w:val="20"/>
          <w:szCs w:val="20"/>
        </w:rPr>
      </w:pPr>
      <w:r>
        <w:rPr>
          <w:rFonts w:eastAsia="Arial" w:cs="Arial" w:ascii="Arial" w:hAnsi="Arial"/>
          <w:sz w:val="20"/>
          <w:szCs w:val="20"/>
        </w:rPr>
        <w:t>4.1 Upon the Company’s written request and to the extent the Company does not have the ability to address a Data Subject Request directly via the Services, the Vendor will provide reasonable assistance, at its own cost and expense, in accordance with the DPA, including by:</w:t>
      </w:r>
    </w:p>
    <w:p>
      <w:pPr>
        <w:pStyle w:val="normal1"/>
        <w:rPr>
          <w:rFonts w:ascii="Arial" w:hAnsi="Arial" w:eastAsia="Arial" w:cs="Arial"/>
          <w:sz w:val="20"/>
          <w:szCs w:val="20"/>
        </w:rPr>
      </w:pPr>
      <w:r>
        <w:rPr>
          <w:rFonts w:eastAsia="Arial" w:cs="Arial" w:ascii="Arial" w:hAnsi="Arial"/>
          <w:sz w:val="20"/>
          <w:szCs w:val="20"/>
        </w:rPr>
        <w:t>(a) providing information about the Processing of Company Personal Data necessary for the Company to respond to the request;</w:t>
      </w:r>
    </w:p>
    <w:p>
      <w:pPr>
        <w:pStyle w:val="normal1"/>
        <w:rPr>
          <w:rFonts w:ascii="Arial" w:hAnsi="Arial" w:eastAsia="Arial" w:cs="Arial"/>
          <w:sz w:val="20"/>
          <w:szCs w:val="20"/>
        </w:rPr>
      </w:pPr>
      <w:r>
        <w:rPr>
          <w:rFonts w:eastAsia="Arial" w:cs="Arial" w:ascii="Arial" w:hAnsi="Arial"/>
          <w:sz w:val="20"/>
          <w:szCs w:val="20"/>
        </w:rPr>
        <w:t>(b) executing, on the Company’s documented instructions, technical actions within the Services (such as search, export, rectification, restriction or deletion of data) relating to the Data Subject;</w:t>
      </w:r>
    </w:p>
    <w:p>
      <w:pPr>
        <w:pStyle w:val="normal1"/>
        <w:rPr>
          <w:rFonts w:ascii="Arial" w:hAnsi="Arial" w:eastAsia="Arial" w:cs="Arial"/>
          <w:sz w:val="20"/>
          <w:szCs w:val="20"/>
        </w:rPr>
      </w:pPr>
      <w:r>
        <w:rPr>
          <w:rFonts w:eastAsia="Arial" w:cs="Arial" w:ascii="Arial" w:hAnsi="Arial"/>
          <w:sz w:val="20"/>
          <w:szCs w:val="20"/>
        </w:rPr>
        <w:t>(c) supporting the Company in documenting the handling of the Data Subject Request for compliance and audit purposes.</w:t>
      </w:r>
    </w:p>
    <w:p>
      <w:pPr>
        <w:pStyle w:val="normal1"/>
        <w:rPr>
          <w:rFonts w:ascii="Arial" w:hAnsi="Arial" w:eastAsia="Arial" w:cs="Arial"/>
          <w:sz w:val="20"/>
          <w:szCs w:val="20"/>
        </w:rPr>
      </w:pPr>
      <w:r>
        <w:rPr>
          <w:rFonts w:eastAsia="Arial" w:cs="Arial" w:ascii="Arial" w:hAnsi="Arial"/>
          <w:sz w:val="20"/>
          <w:szCs w:val="20"/>
        </w:rPr>
        <w:t>4.2 The Vendor will provide such assistance within timelines that allow the Company to comply with its obligations under applicable data protection laws and as set out in the DPA.</w:t>
      </w:r>
    </w:p>
    <w:p>
      <w:pPr>
        <w:pStyle w:val="normal1"/>
        <w:rPr>
          <w:rFonts w:ascii="Arial" w:hAnsi="Arial" w:eastAsia="Arial" w:cs="Arial"/>
          <w:sz w:val="20"/>
          <w:szCs w:val="20"/>
        </w:rPr>
      </w:pPr>
      <w:r>
        <w:rPr>
          <w:rFonts w:eastAsia="Arial" w:cs="Arial" w:ascii="Arial" w:hAnsi="Arial"/>
          <w:sz w:val="20"/>
          <w:szCs w:val="20"/>
        </w:rPr>
        <w:t xml:space="preserve">4.3 Notification to the data exporter shall be provided by the data importer by email to the following email address: </w:t>
      </w:r>
      <w:r>
        <w:rPr>
          <w:rFonts w:eastAsia="Arial" w:cs="Arial" w:ascii="Arial" w:hAnsi="Arial"/>
          <w:b/>
          <w:bCs/>
          <w:sz w:val="20"/>
          <w:szCs w:val="20"/>
          <w:shd w:fill="FFFF00" w:val="clear"/>
        </w:rPr>
        <w:t>YOUR@EMAIL.COM</w:t>
      </w:r>
    </w:p>
    <w:p>
      <w:pPr>
        <w:pStyle w:val="normal1"/>
        <w:rPr>
          <w:rFonts w:ascii="Arial" w:hAnsi="Arial" w:eastAsia="Arial" w:cs="Arial"/>
          <w:sz w:val="20"/>
          <w:szCs w:val="20"/>
        </w:rPr>
      </w:pPr>
      <w:r>
        <w:rPr>
          <w:rFonts w:eastAsia="Arial" w:cs="Arial" w:ascii="Arial" w:hAnsi="Arial"/>
          <w:sz w:val="20"/>
          <w:szCs w:val="20"/>
        </w:rPr>
        <w:t>C. CONTINUAL IMPROVEMENT</w:t>
      </w:r>
    </w:p>
    <w:p>
      <w:pPr>
        <w:pStyle w:val="normal1"/>
        <w:rPr>
          <w:rFonts w:ascii="Arial" w:hAnsi="Arial" w:eastAsia="Arial" w:cs="Arial"/>
          <w:sz w:val="20"/>
          <w:szCs w:val="20"/>
        </w:rPr>
      </w:pPr>
      <w:r>
        <w:rPr>
          <w:rFonts w:eastAsia="Arial" w:cs="Arial" w:ascii="Arial" w:hAnsi="Arial"/>
          <w:sz w:val="20"/>
          <w:szCs w:val="20"/>
        </w:rPr>
        <w:t>The Vendor regularly reviews and updates the technical and organisational measures described in this Annex 2 in light of technological developments, audit findings, changes to the Services, and evolving risks, provided that such changes do not result in a material decrease of the overall security of the Services as provided to the Company under the DPA and the Principal Agreement.</w:t>
      </w:r>
    </w:p>
    <w:p>
      <w:pPr>
        <w:pStyle w:val="normal1"/>
        <w:rPr>
          <w:rFonts w:ascii="Arial" w:hAnsi="Arial" w:eastAsia="Arial" w:cs="Arial"/>
          <w:sz w:val="20"/>
          <w:szCs w:val="20"/>
        </w:rPr>
      </w:pPr>
      <w:r>
        <w:rPr>
          <w:rFonts w:eastAsia="Arial" w:cs="Arial" w:ascii="Arial" w:hAnsi="Arial"/>
          <w:sz w:val="20"/>
          <w:szCs w:val="20"/>
        </w:rPr>
      </w:r>
    </w:p>
    <w:p>
      <w:pPr>
        <w:pStyle w:val="normal1"/>
        <w:rPr>
          <w:rFonts w:ascii="Arial" w:hAnsi="Arial" w:eastAsia="Arial" w:cs="Arial"/>
          <w:sz w:val="20"/>
          <w:szCs w:val="20"/>
        </w:rPr>
      </w:pPr>
      <w:r>
        <w:rPr>
          <w:rFonts w:eastAsia="Arial" w:cs="Arial" w:ascii="Arial" w:hAnsi="Arial"/>
          <w:sz w:val="20"/>
          <w:szCs w:val="20"/>
        </w:rPr>
      </w:r>
    </w:p>
    <w:p>
      <w:pPr>
        <w:pStyle w:val="normal1"/>
        <w:spacing w:lineRule="auto" w:line="240" w:before="0" w:after="0"/>
        <w:rPr>
          <w:rFonts w:ascii="Arial" w:hAnsi="Arial" w:eastAsia="Arial" w:cs="Arial"/>
          <w:b/>
          <w:bCs/>
          <w:sz w:val="20"/>
          <w:szCs w:val="20"/>
        </w:rPr>
      </w:pPr>
      <w:r>
        <w:rPr>
          <w:rFonts w:eastAsia="Arial" w:cs="Arial" w:ascii="Arial" w:hAnsi="Arial"/>
          <w:b/>
          <w:bCs/>
          <w:sz w:val="20"/>
          <w:szCs w:val="20"/>
        </w:rPr>
      </w:r>
    </w:p>
    <w:p>
      <w:pPr>
        <w:pStyle w:val="normal1"/>
        <w:widowControl/>
        <w:bidi w:val="0"/>
        <w:spacing w:lineRule="auto" w:line="276" w:before="0" w:after="200"/>
        <w:jc w:val="left"/>
        <w:rPr/>
      </w:pPr>
      <w:r>
        <w:rPr/>
      </w:r>
    </w:p>
    <w:sectPr>
      <w:headerReference w:type="even" r:id="rId2"/>
      <w:headerReference w:type="default" r:id="rId3"/>
      <w:headerReference w:type="first" r:id="rId4"/>
      <w:footerReference w:type="even" r:id="rId5"/>
      <w:footerReference w:type="default" r:id="rId6"/>
      <w:footerReference w:type="first" r:id="rId7"/>
      <w:type w:val="nextPage"/>
      <w:pgSz w:w="11906" w:h="16838"/>
      <w:pgMar w:left="1440" w:right="1440" w:gutter="0" w:header="708" w:top="1440" w:footer="708"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ee"/>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ambria">
    <w:charset w:val="ee"/>
    <w:family w:val="roman"/>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Lucida Grande">
    <w:charset w:val="ee"/>
    <w:family w:val="roman"/>
    <w:pitch w:val="variable"/>
  </w:font>
  <w:font w:name="Liberation Sans">
    <w:altName w:val="Arial"/>
    <w:charset w:val="ee"/>
    <w:family w:val="roman"/>
    <w:pitch w:val="variable"/>
    <w:embedRegular r:id="rId18" w:fontKey="{12014A78-CABC-4EF0-12AC-5CD89AEFDE12}"/>
  </w:font>
  <w:font w:name="Georgia">
    <w:charset w:val="ee"/>
    <w:family w:val="roman"/>
    <w:pitch w:val="variable"/>
    <w:embedRegular r:id="rId19" w:fontKey="{13014A78-CABC-4EF0-12AC-5CD89AEFDE13}"/>
    <w:embedBold r:id="rId20" w:fontKey="{14014A78-CABC-4EF0-12AC-5CD89AEFDE14}"/>
    <w:embedItalic r:id="rId21" w:fontKey="{15014A78-CABC-4EF0-12AC-5CD89AEFDE15}"/>
    <w:embedBoldItalic r:id="rId22" w:fontKey="{16014A78-CABC-4EF0-12AC-5CD89AEFDE16}"/>
  </w:font>
  <w:font w:name="Arial">
    <w:charset w:val="ee"/>
    <w:family w:val="roman"/>
    <w:pitch w:val="variable"/>
  </w:font>
  <w:font w:name="Courier New">
    <w:charset w:val="01"/>
    <w:family w:val="modern"/>
    <w:pitch w:val="fixed"/>
    <w:embedRegular r:id="rId23" w:fontKey="{17014A78-CABC-4EF0-12AC-5CD89AEFDE17}"/>
    <w:embedBold r:id="rId24" w:fontKey="{18014A78-CABC-4EF0-12AC-5CD89AEFDE18}"/>
    <w:embedItalic r:id="rId25" w:fontKey="{19014A78-CABC-4EF0-12AC-5CD89AEFDE19}"/>
    <w:embedBoldItalic r:id="rId26" w:fontKey="{1A014A78-CABC-4EF0-12AC-5CD89AEFDE1A}"/>
  </w:font>
  <w:font w:name="Noto Sans Symbols">
    <w:charset w:val="01"/>
    <w:family w:val="swiss"/>
    <w:pitch w:val="default"/>
    <w:embedRegular r:id="rId27" w:fontKey="{1B014A78-CABC-4EF0-12AC-5CD89AEFDE1B}"/>
    <w:embedBold r:id="rId28" w:fontKey="{1C014A78-CABC-4EF0-12AC-5CD89AEFDE1C}"/>
    <w:embedItalic r:id="rId29" w:fontKey="{1D014A78-CABC-4EF0-12AC-5CD89AEFDE1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widowControl/>
      <w:pBdr/>
      <w:shd w:val="clear" w:fill="auto"/>
      <w:tabs>
        <w:tab w:val="clear" w:pos="720"/>
        <w:tab w:val="center" w:pos="4320" w:leader="none"/>
        <w:tab w:val="right" w:pos="8640" w:leader="none"/>
      </w:tabs>
      <w:spacing w:lineRule="auto" w:line="240" w:before="0" w:after="0"/>
      <w:ind w:hanging="0" w:left="0" w:right="0"/>
      <w:jc w:val="left"/>
      <w:rPr>
        <w:rFonts w:ascii="Cambria" w:hAnsi="Cambria" w:eastAsia="Cambria" w:cs="Cambria"/>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mbria" w:cs="Cambria"/>
        <w:b w:val="false"/>
        <w:bCs w:val="false"/>
        <w:i w:val="false"/>
        <w:iCs w:val="false"/>
        <w:caps w:val="false"/>
        <w:smallCaps w:val="false"/>
        <w:strike w:val="false"/>
        <w:dstrike w:val="false"/>
        <w:color w:val="000000"/>
        <w:position w:val="0"/>
        <w:sz w:val="22"/>
        <w:sz w:val="22"/>
        <w:szCs w:val="22"/>
        <w:u w:val="none"/>
        <w:shd w:fill="auto" w:val="clear"/>
        <w:vertAlign w:val="baseline"/>
      </w:rPr>
      <mc:AlternateContent>
        <mc:Choice Requires="wps">
          <w:drawing>
            <wp:anchor behindDoc="1" distT="0" distB="0" distL="0" distR="0" simplePos="0" locked="0" layoutInCell="0" allowOverlap="1" relativeHeight="39">
              <wp:simplePos x="0" y="0"/>
              <wp:positionH relativeFrom="column">
                <wp:posOffset>2816860</wp:posOffset>
              </wp:positionH>
              <wp:positionV relativeFrom="paragraph">
                <wp:posOffset>-8890</wp:posOffset>
              </wp:positionV>
              <wp:extent cx="97155" cy="182880"/>
              <wp:effectExtent l="0" t="0" r="0" b="0"/>
              <wp:wrapSquare wrapText="bothSides"/>
              <wp:docPr id="3" name="Shape 2"/>
              <a:graphic xmlns:a="http://schemas.openxmlformats.org/drawingml/2006/main">
                <a:graphicData uri="http://schemas.microsoft.com/office/word/2010/wordprocessingShape">
                  <wps:wsp>
                    <wps:cNvSpPr/>
                    <wps:spPr>
                      <a:xfrm>
                        <a:off x="0" y="0"/>
                        <a:ext cx="97200" cy="182880"/>
                      </a:xfrm>
                      <a:prstGeom prst="rect">
                        <a:avLst/>
                      </a:prstGeom>
                      <a:noFill/>
                      <a:ln w="0">
                        <a:noFill/>
                      </a:ln>
                    </wps:spPr>
                    <wps:style>
                      <a:lnRef idx="0"/>
                      <a:fillRef idx="0"/>
                      <a:effectRef idx="0"/>
                      <a:fontRef idx="minor"/>
                    </wps:style>
                    <wps:txbx>
                      <w:txbxContent>
                        <w:p>
                          <w:pPr>
                            <w:pStyle w:val="Obsahrmca"/>
                            <w:spacing w:lineRule="auto" w:line="240" w:before="0" w:after="0"/>
                            <w:ind w:hanging="0" w:left="0" w:right="0"/>
                            <w:jc w:val="left"/>
                            <w:rPr/>
                          </w:pPr>
                          <w:r>
                            <w:rPr>
                              <w:rFonts w:eastAsia="Cambria" w:cs="Cambria"/>
                              <w:b w:val="false"/>
                              <w:i w:val="false"/>
                              <w:caps w:val="false"/>
                              <w:smallCaps w:val="false"/>
                              <w:strike w:val="false"/>
                              <w:dstrike w:val="false"/>
                              <w:color w:val="000000"/>
                              <w:position w:val="0"/>
                              <w:sz w:val="22"/>
                              <w:sz w:val="22"/>
                              <w:vertAlign w:val="baseline"/>
                            </w:rPr>
                            <w:t>PAGE8</w:t>
                          </w:r>
                        </w:p>
                      </w:txbxContent>
                    </wps:txbx>
                    <wps:bodyPr lIns="0" rIns="0" tIns="0" bIns="0" anchor="t">
                      <a:noAutofit/>
                    </wps:bodyPr>
                  </wps:wsp>
                </a:graphicData>
              </a:graphic>
            </wp:anchor>
          </w:drawing>
        </mc:Choice>
        <mc:Fallback>
          <w:pict>
            <v:rect id="shape_0" ID="Shape 2" path="m0,0l-2147483645,0l-2147483645,-2147483646l0,-2147483646xe" fillcolor="white" stroked="f" o:allowincell="f" style="position:absolute;margin-left:221.8pt;margin-top:-0.7pt;width:7.6pt;height:14.35pt;mso-wrap-style:square;v-text-anchor:top">
              <v:fill o:detectmouseclick="t" type="solid" color2="black" opacity="0"/>
              <v:stroke color="#3465a4" joinstyle="round" endcap="flat"/>
              <v:textbox>
                <w:txbxContent>
                  <w:p>
                    <w:pPr>
                      <w:pStyle w:val="Obsahrmca"/>
                      <w:spacing w:lineRule="auto" w:line="240" w:before="0" w:after="0"/>
                      <w:ind w:hanging="0" w:left="0" w:right="0"/>
                      <w:jc w:val="left"/>
                      <w:rPr/>
                    </w:pPr>
                    <w:r>
                      <w:rPr>
                        <w:rFonts w:eastAsia="Cambria" w:cs="Cambria"/>
                        <w:b w:val="false"/>
                        <w:i w:val="false"/>
                        <w:caps w:val="false"/>
                        <w:smallCaps w:val="false"/>
                        <w:strike w:val="false"/>
                        <w:dstrike w:val="false"/>
                        <w:color w:val="000000"/>
                        <w:position w:val="0"/>
                        <w:sz w:val="22"/>
                        <w:sz w:val="22"/>
                        <w:vertAlign w:val="baseline"/>
                      </w:rPr>
                      <w:t>PAGE8</w:t>
                    </w:r>
                  </w:p>
                </w:txbxContent>
              </v:textbox>
              <w10:wrap type="squar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widowControl/>
      <w:pBdr/>
      <w:shd w:val="clear" w:fill="auto"/>
      <w:tabs>
        <w:tab w:val="clear" w:pos="720"/>
        <w:tab w:val="center" w:pos="4320" w:leader="none"/>
        <w:tab w:val="right" w:pos="8640" w:leader="none"/>
      </w:tabs>
      <w:spacing w:lineRule="auto" w:line="240" w:before="0" w:after="0"/>
      <w:ind w:hanging="0" w:left="0" w:right="0"/>
      <w:jc w:val="left"/>
      <w:rPr>
        <w:rFonts w:ascii="Cambria" w:hAnsi="Cambria" w:eastAsia="Cambria" w:cs="Cambria"/>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mbria" w:cs="Cambria"/>
        <w:b w:val="false"/>
        <w:bCs w:val="false"/>
        <w:i w:val="false"/>
        <w:iCs w:val="false"/>
        <w:caps w:val="false"/>
        <w:smallCaps w:val="false"/>
        <w:strike w:val="false"/>
        <w:dstrike w:val="false"/>
        <w:color w:val="000000"/>
        <w:position w:val="0"/>
        <w:sz w:val="22"/>
        <w:sz w:val="22"/>
        <w:szCs w:val="22"/>
        <w:u w:val="none"/>
        <w:shd w:fill="auto" w:val="clear"/>
        <w:vertAlign w:val="baseline"/>
      </w:rPr>
      <mc:AlternateContent>
        <mc:Choice Requires="wps">
          <w:drawing>
            <wp:anchor behindDoc="1" distT="0" distB="0" distL="0" distR="0" simplePos="0" locked="0" layoutInCell="0" allowOverlap="1" relativeHeight="39">
              <wp:simplePos x="0" y="0"/>
              <wp:positionH relativeFrom="column">
                <wp:posOffset>2816860</wp:posOffset>
              </wp:positionH>
              <wp:positionV relativeFrom="paragraph">
                <wp:posOffset>-8890</wp:posOffset>
              </wp:positionV>
              <wp:extent cx="97155" cy="182880"/>
              <wp:effectExtent l="0" t="0" r="0" b="0"/>
              <wp:wrapSquare wrapText="bothSides"/>
              <wp:docPr id="4" name="Shape 2"/>
              <a:graphic xmlns:a="http://schemas.openxmlformats.org/drawingml/2006/main">
                <a:graphicData uri="http://schemas.microsoft.com/office/word/2010/wordprocessingShape">
                  <wps:wsp>
                    <wps:cNvSpPr/>
                    <wps:spPr>
                      <a:xfrm>
                        <a:off x="0" y="0"/>
                        <a:ext cx="97200" cy="182880"/>
                      </a:xfrm>
                      <a:prstGeom prst="rect">
                        <a:avLst/>
                      </a:prstGeom>
                      <a:noFill/>
                      <a:ln w="0">
                        <a:noFill/>
                      </a:ln>
                    </wps:spPr>
                    <wps:style>
                      <a:lnRef idx="0"/>
                      <a:fillRef idx="0"/>
                      <a:effectRef idx="0"/>
                      <a:fontRef idx="minor"/>
                    </wps:style>
                    <wps:txbx>
                      <w:txbxContent>
                        <w:p>
                          <w:pPr>
                            <w:pStyle w:val="Obsahrmca"/>
                            <w:spacing w:lineRule="auto" w:line="240" w:before="0" w:after="0"/>
                            <w:ind w:hanging="0" w:left="0" w:right="0"/>
                            <w:jc w:val="left"/>
                            <w:rPr/>
                          </w:pPr>
                          <w:r>
                            <w:rPr>
                              <w:rFonts w:eastAsia="Cambria" w:cs="Cambria"/>
                              <w:b w:val="false"/>
                              <w:i w:val="false"/>
                              <w:caps w:val="false"/>
                              <w:smallCaps w:val="false"/>
                              <w:strike w:val="false"/>
                              <w:dstrike w:val="false"/>
                              <w:color w:val="000000"/>
                              <w:position w:val="0"/>
                              <w:sz w:val="22"/>
                              <w:sz w:val="22"/>
                              <w:vertAlign w:val="baseline"/>
                            </w:rPr>
                            <w:t>PAGE8</w:t>
                          </w:r>
                        </w:p>
                      </w:txbxContent>
                    </wps:txbx>
                    <wps:bodyPr lIns="0" rIns="0" tIns="0" bIns="0" anchor="t">
                      <a:noAutofit/>
                    </wps:bodyPr>
                  </wps:wsp>
                </a:graphicData>
              </a:graphic>
            </wp:anchor>
          </w:drawing>
        </mc:Choice>
        <mc:Fallback>
          <w:pict>
            <v:rect id="shape_0" ID="Shape 2" path="m0,0l-2147483645,0l-2147483645,-2147483646l0,-2147483646xe" fillcolor="white" stroked="f" o:allowincell="f" style="position:absolute;margin-left:221.8pt;margin-top:-0.7pt;width:7.6pt;height:14.35pt;mso-wrap-style:square;v-text-anchor:top">
              <v:fill o:detectmouseclick="t" type="solid" color2="black" opacity="0"/>
              <v:stroke color="#3465a4" joinstyle="round" endcap="flat"/>
              <v:textbox>
                <w:txbxContent>
                  <w:p>
                    <w:pPr>
                      <w:pStyle w:val="Obsahrmca"/>
                      <w:spacing w:lineRule="auto" w:line="240" w:before="0" w:after="0"/>
                      <w:ind w:hanging="0" w:left="0" w:right="0"/>
                      <w:jc w:val="left"/>
                      <w:rPr/>
                    </w:pPr>
                    <w:r>
                      <w:rPr>
                        <w:rFonts w:eastAsia="Cambria" w:cs="Cambria"/>
                        <w:b w:val="false"/>
                        <w:i w:val="false"/>
                        <w:caps w:val="false"/>
                        <w:smallCaps w:val="false"/>
                        <w:strike w:val="false"/>
                        <w:dstrike w:val="false"/>
                        <w:color w:val="000000"/>
                        <w:position w:val="0"/>
                        <w:sz w:val="22"/>
                        <w:sz w:val="22"/>
                        <w:vertAlign w:val="baseline"/>
                      </w:rPr>
                      <w:t>PAGE8</w:t>
                    </w:r>
                  </w:p>
                </w:txbxContent>
              </v:textbox>
              <w10:wrap type="square"/>
            </v:rect>
          </w:pict>
        </mc:Fallback>
      </mc:AlternateConten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widowControl/>
      <w:pBdr/>
      <w:shd w:val="clear" w:fill="auto"/>
      <w:tabs>
        <w:tab w:val="clear" w:pos="720"/>
        <w:tab w:val="center" w:pos="4513" w:leader="none"/>
        <w:tab w:val="right" w:pos="9026" w:leader="none"/>
      </w:tabs>
      <w:spacing w:lineRule="auto" w:line="240" w:before="0" w:after="0"/>
      <w:ind w:hanging="0" w:left="0" w:right="0"/>
      <w:jc w:val="center"/>
      <w:rPr>
        <w:rFonts w:ascii="Cambria" w:hAnsi="Cambria" w:eastAsia="Cambria" w:cs="Cambria"/>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drawing>
        <wp:inline distT="0" distB="0" distL="0" distR="0">
          <wp:extent cx="1943100" cy="300990"/>
          <wp:effectExtent l="0" t="0" r="0" b="0"/>
          <wp:docPr id="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
                  <pic:cNvPicPr>
                    <a:picLocks noChangeAspect="1" noChangeArrowheads="1"/>
                  </pic:cNvPicPr>
                </pic:nvPicPr>
                <pic:blipFill>
                  <a:blip r:embed="rId1"/>
                  <a:stretch>
                    <a:fillRect/>
                  </a:stretch>
                </pic:blipFill>
                <pic:spPr bwMode="auto">
                  <a:xfrm>
                    <a:off x="0" y="0"/>
                    <a:ext cx="1943100" cy="300990"/>
                  </a:xfrm>
                  <a:prstGeom prst="rect">
                    <a:avLst/>
                  </a:prstGeom>
                  <a:noFill/>
                </pic:spPr>
              </pic:pic>
            </a:graphicData>
          </a:graphic>
        </wp:inline>
      </w:drawing>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widowControl/>
      <w:pBdr/>
      <w:shd w:val="clear" w:fill="auto"/>
      <w:tabs>
        <w:tab w:val="clear" w:pos="720"/>
        <w:tab w:val="center" w:pos="4513" w:leader="none"/>
        <w:tab w:val="right" w:pos="9026" w:leader="none"/>
      </w:tabs>
      <w:spacing w:lineRule="auto" w:line="240" w:before="0" w:after="0"/>
      <w:ind w:hanging="0" w:left="0" w:right="0"/>
      <w:jc w:val="center"/>
      <w:rPr>
        <w:rFonts w:ascii="Cambria" w:hAnsi="Cambria" w:eastAsia="Cambria" w:cs="Cambria"/>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drawing>
        <wp:inline distT="0" distB="0" distL="0" distR="0">
          <wp:extent cx="1943100" cy="300990"/>
          <wp:effectExtent l="0" t="0" r="0" b="0"/>
          <wp:docPr id="2"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descr=""/>
                  <pic:cNvPicPr>
                    <a:picLocks noChangeAspect="1" noChangeArrowheads="1"/>
                  </pic:cNvPicPr>
                </pic:nvPicPr>
                <pic:blipFill>
                  <a:blip r:embed="rId1"/>
                  <a:stretch>
                    <a:fillRect/>
                  </a:stretch>
                </pic:blipFill>
                <pic:spPr bwMode="auto">
                  <a:xfrm>
                    <a:off x="0" y="0"/>
                    <a:ext cx="1943100" cy="300990"/>
                  </a:xfrm>
                  <a:prstGeom prst="rect">
                    <a:avLst/>
                  </a:prstGeom>
                  <a:noFill/>
                </pic:spPr>
              </pic:pic>
            </a:graphicData>
          </a:graphic>
        </wp:inline>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720" w:hanging="363"/>
      </w:pPr>
      <w:rPr>
        <w:b/>
        <w:bCs/>
      </w:rPr>
    </w:lvl>
    <w:lvl w:ilvl="1">
      <w:start w:val="1"/>
      <w:numFmt w:val="decimal"/>
      <w:lvlText w:val="%1.%2."/>
      <w:lvlJc w:val="left"/>
      <w:pPr>
        <w:tabs>
          <w:tab w:val="num" w:pos="0"/>
        </w:tabs>
        <w:ind w:left="720" w:hanging="363"/>
      </w:pPr>
      <w:rPr>
        <w:i w:val="false"/>
        <w:b w:val="false"/>
        <w:iCs w:val="false"/>
        <w:bCs w:val="false"/>
        <w:color w:val="000000"/>
      </w:rPr>
    </w:lvl>
    <w:lvl w:ilvl="2">
      <w:start w:val="1"/>
      <w:numFmt w:val="decimal"/>
      <w:lvlText w:val="%1.%2.%3."/>
      <w:lvlJc w:val="left"/>
      <w:pPr>
        <w:tabs>
          <w:tab w:val="num" w:pos="0"/>
        </w:tabs>
        <w:ind w:left="720" w:hanging="363"/>
      </w:pPr>
      <w:rPr/>
    </w:lvl>
    <w:lvl w:ilvl="3">
      <w:start w:val="1"/>
      <w:numFmt w:val="decimal"/>
      <w:lvlText w:val="%1.%2.%3.%4."/>
      <w:lvlJc w:val="left"/>
      <w:pPr>
        <w:tabs>
          <w:tab w:val="num" w:pos="0"/>
        </w:tabs>
        <w:ind w:left="720" w:hanging="363"/>
      </w:pPr>
      <w:rPr/>
    </w:lvl>
    <w:lvl w:ilvl="4">
      <w:start w:val="1"/>
      <w:numFmt w:val="decimal"/>
      <w:lvlText w:val="%1.%2.%3.%4.%5."/>
      <w:lvlJc w:val="left"/>
      <w:pPr>
        <w:tabs>
          <w:tab w:val="num" w:pos="0"/>
        </w:tabs>
        <w:ind w:left="720" w:hanging="363"/>
      </w:pPr>
      <w:rPr/>
    </w:lvl>
    <w:lvl w:ilvl="5">
      <w:start w:val="1"/>
      <w:numFmt w:val="decimal"/>
      <w:lvlText w:val="%1.%2.%3.%4.%5.%6."/>
      <w:lvlJc w:val="left"/>
      <w:pPr>
        <w:tabs>
          <w:tab w:val="num" w:pos="0"/>
        </w:tabs>
        <w:ind w:left="720" w:hanging="363"/>
      </w:pPr>
      <w:rPr/>
    </w:lvl>
    <w:lvl w:ilvl="6">
      <w:start w:val="1"/>
      <w:numFmt w:val="decimal"/>
      <w:lvlText w:val="%1.%2.%3.%4.%5.%6.%7."/>
      <w:lvlJc w:val="left"/>
      <w:pPr>
        <w:tabs>
          <w:tab w:val="num" w:pos="0"/>
        </w:tabs>
        <w:ind w:left="720" w:hanging="363"/>
      </w:pPr>
      <w:rPr/>
    </w:lvl>
    <w:lvl w:ilvl="7">
      <w:start w:val="1"/>
      <w:numFmt w:val="decimal"/>
      <w:lvlText w:val="%1.%2.%3.%4.%5.%6.%7.%8."/>
      <w:lvlJc w:val="left"/>
      <w:pPr>
        <w:tabs>
          <w:tab w:val="num" w:pos="0"/>
        </w:tabs>
        <w:ind w:left="720" w:hanging="363"/>
      </w:pPr>
      <w:rPr/>
    </w:lvl>
    <w:lvl w:ilvl="8">
      <w:start w:val="1"/>
      <w:numFmt w:val="decimal"/>
      <w:lvlText w:val="%1.%2.%3.%4.%5.%6.%7.%8.%9."/>
      <w:lvlJc w:val="left"/>
      <w:pPr>
        <w:tabs>
          <w:tab w:val="num" w:pos="0"/>
        </w:tabs>
        <w:ind w:left="720" w:hanging="363"/>
      </w:pPr>
      <w:rPr/>
    </w:lvl>
  </w:abstractNum>
  <w:abstractNum w:abstractNumId="2">
    <w:lvl w:ilvl="0">
      <w:start w:val="1"/>
      <w:numFmt w:val="lowerLetter"/>
      <w:lvlText w:val="%1)"/>
      <w:lvlJc w:val="left"/>
      <w:pPr>
        <w:tabs>
          <w:tab w:val="num" w:pos="0"/>
        </w:tabs>
        <w:ind w:left="720" w:hanging="360"/>
      </w:pPr>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3">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
    <w:lvl w:ilvl="0">
      <w:start w:val="1"/>
      <w:numFmt w:val="lowerLetter"/>
      <w:lvlText w:val="%1)"/>
      <w:lvlJc w:val="left"/>
      <w:pPr>
        <w:tabs>
          <w:tab w:val="num" w:pos="0"/>
        </w:tabs>
        <w:ind w:left="1440" w:hanging="360"/>
      </w:pPr>
      <w:rPr/>
    </w:lvl>
    <w:lvl w:ilvl="1">
      <w:start w:val="1"/>
      <w:numFmt w:val="lowerLetter"/>
      <w:lvlText w:val="%2."/>
      <w:lvlJc w:val="left"/>
      <w:pPr>
        <w:tabs>
          <w:tab w:val="num" w:pos="0"/>
        </w:tabs>
        <w:ind w:left="2160" w:hanging="360"/>
      </w:pPr>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
    <w:lvl w:ilvl="0">
      <w:start w:val="1"/>
      <w:numFmt w:val="lowerLetter"/>
      <w:lvlText w:val="%1)"/>
      <w:lvlJc w:val="left"/>
      <w:pPr>
        <w:tabs>
          <w:tab w:val="num" w:pos="0"/>
        </w:tabs>
        <w:ind w:left="1496" w:hanging="360"/>
      </w:pPr>
      <w:rPr/>
    </w:lvl>
    <w:lvl w:ilvl="1">
      <w:start w:val="1"/>
      <w:numFmt w:val="lowerLetter"/>
      <w:lvlText w:val="%2."/>
      <w:lvlJc w:val="left"/>
      <w:pPr>
        <w:tabs>
          <w:tab w:val="num" w:pos="0"/>
        </w:tabs>
        <w:ind w:left="2216" w:hanging="360"/>
      </w:pPr>
      <w:rPr/>
    </w:lvl>
    <w:lvl w:ilvl="2">
      <w:start w:val="1"/>
      <w:numFmt w:val="lowerRoman"/>
      <w:lvlText w:val="%3."/>
      <w:lvlJc w:val="right"/>
      <w:pPr>
        <w:tabs>
          <w:tab w:val="num" w:pos="0"/>
        </w:tabs>
        <w:ind w:left="2936" w:hanging="180"/>
      </w:pPr>
      <w:rPr/>
    </w:lvl>
    <w:lvl w:ilvl="3">
      <w:start w:val="1"/>
      <w:numFmt w:val="decimal"/>
      <w:lvlText w:val="%4."/>
      <w:lvlJc w:val="left"/>
      <w:pPr>
        <w:tabs>
          <w:tab w:val="num" w:pos="0"/>
        </w:tabs>
        <w:ind w:left="3656" w:hanging="360"/>
      </w:pPr>
      <w:rPr/>
    </w:lvl>
    <w:lvl w:ilvl="4">
      <w:start w:val="1"/>
      <w:numFmt w:val="lowerLetter"/>
      <w:lvlText w:val="%5."/>
      <w:lvlJc w:val="left"/>
      <w:pPr>
        <w:tabs>
          <w:tab w:val="num" w:pos="0"/>
        </w:tabs>
        <w:ind w:left="4376" w:hanging="360"/>
      </w:pPr>
      <w:rPr/>
    </w:lvl>
    <w:lvl w:ilvl="5">
      <w:start w:val="1"/>
      <w:numFmt w:val="lowerRoman"/>
      <w:lvlText w:val="%6."/>
      <w:lvlJc w:val="right"/>
      <w:pPr>
        <w:tabs>
          <w:tab w:val="num" w:pos="0"/>
        </w:tabs>
        <w:ind w:left="5096" w:hanging="180"/>
      </w:pPr>
      <w:rPr/>
    </w:lvl>
    <w:lvl w:ilvl="6">
      <w:start w:val="1"/>
      <w:numFmt w:val="decimal"/>
      <w:lvlText w:val="%7."/>
      <w:lvlJc w:val="left"/>
      <w:pPr>
        <w:tabs>
          <w:tab w:val="num" w:pos="0"/>
        </w:tabs>
        <w:ind w:left="5816" w:hanging="360"/>
      </w:pPr>
      <w:rPr/>
    </w:lvl>
    <w:lvl w:ilvl="7">
      <w:start w:val="1"/>
      <w:numFmt w:val="lowerLetter"/>
      <w:lvlText w:val="%8."/>
      <w:lvlJc w:val="left"/>
      <w:pPr>
        <w:tabs>
          <w:tab w:val="num" w:pos="0"/>
        </w:tabs>
        <w:ind w:left="6536" w:hanging="360"/>
      </w:pPr>
      <w:rPr/>
    </w:lvl>
    <w:lvl w:ilvl="8">
      <w:start w:val="1"/>
      <w:numFmt w:val="lowerRoman"/>
      <w:lvlText w:val="%9."/>
      <w:lvlJc w:val="right"/>
      <w:pPr>
        <w:tabs>
          <w:tab w:val="num" w:pos="0"/>
        </w:tabs>
        <w:ind w:left="7256" w:hanging="180"/>
      </w:pPr>
      <w:rPr/>
    </w:lvl>
  </w:abstractNum>
  <w:abstractNum w:abstractNumId="6">
    <w:lvl w:ilvl="0">
      <w:start w:val="1"/>
      <w:numFmt w:val="lowerLetter"/>
      <w:lvlText w:val="%1)"/>
      <w:lvlJc w:val="left"/>
      <w:pPr>
        <w:tabs>
          <w:tab w:val="num" w:pos="0"/>
        </w:tabs>
        <w:ind w:left="1077" w:hanging="360"/>
      </w:pPr>
      <w:rPr/>
    </w:lvl>
    <w:lvl w:ilvl="1">
      <w:start w:val="1"/>
      <w:numFmt w:val="lowerLetter"/>
      <w:lvlText w:val="%2."/>
      <w:lvlJc w:val="left"/>
      <w:pPr>
        <w:tabs>
          <w:tab w:val="num" w:pos="0"/>
        </w:tabs>
        <w:ind w:left="1797" w:hanging="360"/>
      </w:pPr>
      <w:rPr/>
    </w:lvl>
    <w:lvl w:ilvl="2">
      <w:start w:val="1"/>
      <w:numFmt w:val="lowerRoman"/>
      <w:lvlText w:val="%3."/>
      <w:lvlJc w:val="right"/>
      <w:pPr>
        <w:tabs>
          <w:tab w:val="num" w:pos="0"/>
        </w:tabs>
        <w:ind w:left="2517" w:hanging="180"/>
      </w:pPr>
      <w:rPr/>
    </w:lvl>
    <w:lvl w:ilvl="3">
      <w:start w:val="1"/>
      <w:numFmt w:val="decimal"/>
      <w:lvlText w:val="%4."/>
      <w:lvlJc w:val="left"/>
      <w:pPr>
        <w:tabs>
          <w:tab w:val="num" w:pos="0"/>
        </w:tabs>
        <w:ind w:left="3237" w:hanging="360"/>
      </w:pPr>
      <w:rPr/>
    </w:lvl>
    <w:lvl w:ilvl="4">
      <w:start w:val="1"/>
      <w:numFmt w:val="lowerLetter"/>
      <w:lvlText w:val="%5."/>
      <w:lvlJc w:val="left"/>
      <w:pPr>
        <w:tabs>
          <w:tab w:val="num" w:pos="0"/>
        </w:tabs>
        <w:ind w:left="3957" w:hanging="360"/>
      </w:pPr>
      <w:rPr/>
    </w:lvl>
    <w:lvl w:ilvl="5">
      <w:start w:val="1"/>
      <w:numFmt w:val="lowerRoman"/>
      <w:lvlText w:val="%6."/>
      <w:lvlJc w:val="right"/>
      <w:pPr>
        <w:tabs>
          <w:tab w:val="num" w:pos="0"/>
        </w:tabs>
        <w:ind w:left="4677" w:hanging="180"/>
      </w:pPr>
      <w:rPr/>
    </w:lvl>
    <w:lvl w:ilvl="6">
      <w:start w:val="1"/>
      <w:numFmt w:val="decimal"/>
      <w:lvlText w:val="%7."/>
      <w:lvlJc w:val="left"/>
      <w:pPr>
        <w:tabs>
          <w:tab w:val="num" w:pos="0"/>
        </w:tabs>
        <w:ind w:left="5397" w:hanging="360"/>
      </w:pPr>
      <w:rPr/>
    </w:lvl>
    <w:lvl w:ilvl="7">
      <w:start w:val="1"/>
      <w:numFmt w:val="lowerLetter"/>
      <w:lvlText w:val="%8."/>
      <w:lvlJc w:val="left"/>
      <w:pPr>
        <w:tabs>
          <w:tab w:val="num" w:pos="0"/>
        </w:tabs>
        <w:ind w:left="6117" w:hanging="360"/>
      </w:pPr>
      <w:rPr/>
    </w:lvl>
    <w:lvl w:ilvl="8">
      <w:start w:val="1"/>
      <w:numFmt w:val="lowerRoman"/>
      <w:lvlText w:val="%9."/>
      <w:lvlJc w:val="right"/>
      <w:pPr>
        <w:tabs>
          <w:tab w:val="num" w:pos="0"/>
        </w:tabs>
        <w:ind w:left="6837" w:hanging="180"/>
      </w:pPr>
      <w:rPr/>
    </w:lvl>
  </w:abstractNum>
  <w:abstractNum w:abstractNumId="7">
    <w:lvl w:ilvl="0">
      <w:start w:val="10"/>
      <w:numFmt w:val="decimal"/>
      <w:lvlText w:val="%1"/>
      <w:lvlJc w:val="left"/>
      <w:pPr>
        <w:tabs>
          <w:tab w:val="num" w:pos="0"/>
        </w:tabs>
        <w:ind w:left="375" w:hanging="375"/>
      </w:pPr>
      <w:rPr/>
    </w:lvl>
    <w:lvl w:ilvl="1">
      <w:start w:val="2"/>
      <w:numFmt w:val="decimal"/>
      <w:lvlText w:val="%1.%2"/>
      <w:lvlJc w:val="left"/>
      <w:pPr>
        <w:tabs>
          <w:tab w:val="num" w:pos="0"/>
        </w:tabs>
        <w:ind w:left="375" w:hanging="375"/>
      </w:pPr>
      <w:rPr/>
    </w:lvl>
    <w:lvl w:ilvl="2">
      <w:start w:val="1"/>
      <w:numFmt w:val="decimal"/>
      <w:lvlText w:val="%1.%2.%3"/>
      <w:lvlJc w:val="left"/>
      <w:pPr>
        <w:tabs>
          <w:tab w:val="num" w:pos="0"/>
        </w:tabs>
        <w:ind w:left="720" w:hanging="720"/>
      </w:pPr>
      <w:rPr/>
    </w:lvl>
    <w:lvl w:ilvl="3">
      <w:start w:val="1"/>
      <w:numFmt w:val="decimal"/>
      <w:lvlText w:val="%1.%2.%3.%4"/>
      <w:lvlJc w:val="left"/>
      <w:pPr>
        <w:tabs>
          <w:tab w:val="num" w:pos="0"/>
        </w:tabs>
        <w:ind w:left="720" w:hanging="720"/>
      </w:pPr>
      <w:rPr/>
    </w:lvl>
    <w:lvl w:ilvl="4">
      <w:start w:val="1"/>
      <w:numFmt w:val="decimal"/>
      <w:lvlText w:val="%1.%2.%3.%4.%5"/>
      <w:lvlJc w:val="left"/>
      <w:pPr>
        <w:tabs>
          <w:tab w:val="num" w:pos="0"/>
        </w:tabs>
        <w:ind w:left="1080" w:hanging="1080"/>
      </w:pPr>
      <w:rPr/>
    </w:lvl>
    <w:lvl w:ilvl="5">
      <w:start w:val="1"/>
      <w:numFmt w:val="decimal"/>
      <w:lvlText w:val="%1.%2.%3.%4.%5.%6"/>
      <w:lvlJc w:val="left"/>
      <w:pPr>
        <w:tabs>
          <w:tab w:val="num" w:pos="0"/>
        </w:tabs>
        <w:ind w:left="1080" w:hanging="1080"/>
      </w:pPr>
      <w:rPr/>
    </w:lvl>
    <w:lvl w:ilvl="6">
      <w:start w:val="1"/>
      <w:numFmt w:val="decimal"/>
      <w:lvlText w:val="%1.%2.%3.%4.%5.%6.%7"/>
      <w:lvlJc w:val="left"/>
      <w:pPr>
        <w:tabs>
          <w:tab w:val="num" w:pos="0"/>
        </w:tabs>
        <w:ind w:left="1440" w:hanging="1440"/>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800" w:hanging="1800"/>
      </w:pPr>
      <w:rPr/>
    </w:lvl>
  </w:abstractNum>
  <w:abstractNum w:abstractNumId="8">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w:zoom w:percent="100"/>
  <w:embedTrueTypeFonts/>
  <w:defaultTabStop w:val="720"/>
  <w:autoHyphenation w:val="true"/>
  <w:hyphenationZone w:val="0"/>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mbria" w:hAnsi="Cambria" w:eastAsia="Cambria" w:cs="Cambria"/>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200"/>
      <w:jc w:val="left"/>
    </w:pPr>
    <w:rPr>
      <w:rFonts w:ascii="Cambria" w:hAnsi="Cambria" w:eastAsia="Cambria" w:cs="Cambria"/>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80" w:after="120"/>
    </w:pPr>
    <w:rPr>
      <w:b/>
      <w:bCs/>
      <w:sz w:val="48"/>
      <w:szCs w:val="48"/>
    </w:rPr>
  </w:style>
  <w:style w:type="paragraph" w:styleId="Heading2">
    <w:name w:val="heading 2"/>
    <w:basedOn w:val="normal1"/>
    <w:next w:val="normal1"/>
    <w:qFormat/>
    <w:pPr>
      <w:keepNext w:val="true"/>
      <w:keepLines/>
      <w:pageBreakBefore w:val="false"/>
      <w:spacing w:lineRule="auto" w:line="240" w:before="360" w:after="80"/>
    </w:pPr>
    <w:rPr>
      <w:b/>
      <w:bCs/>
      <w:sz w:val="36"/>
      <w:szCs w:val="36"/>
    </w:rPr>
  </w:style>
  <w:style w:type="paragraph" w:styleId="Heading3">
    <w:name w:val="heading 3"/>
    <w:basedOn w:val="normal1"/>
    <w:next w:val="normal1"/>
    <w:qFormat/>
    <w:pPr>
      <w:keepNext w:val="true"/>
      <w:keepLines/>
      <w:pageBreakBefore w:val="false"/>
      <w:spacing w:lineRule="auto" w:line="240" w:before="280" w:after="80"/>
    </w:pPr>
    <w:rPr>
      <w:b/>
      <w:bCs/>
      <w:sz w:val="28"/>
      <w:szCs w:val="28"/>
    </w:rPr>
  </w:style>
  <w:style w:type="paragraph" w:styleId="Heading4">
    <w:name w:val="heading 4"/>
    <w:basedOn w:val="normal1"/>
    <w:next w:val="normal1"/>
    <w:qFormat/>
    <w:pPr>
      <w:keepNext w:val="true"/>
      <w:keepLines/>
      <w:pageBreakBefore w:val="false"/>
      <w:spacing w:lineRule="auto" w:line="240" w:before="240" w:after="40"/>
    </w:pPr>
    <w:rPr>
      <w:b/>
      <w:bCs/>
      <w:sz w:val="24"/>
      <w:szCs w:val="24"/>
    </w:rPr>
  </w:style>
  <w:style w:type="paragraph" w:styleId="Heading5">
    <w:name w:val="heading 5"/>
    <w:basedOn w:val="normal1"/>
    <w:next w:val="normal1"/>
    <w:qFormat/>
    <w:pPr>
      <w:keepNext w:val="true"/>
      <w:keepLines/>
      <w:pageBreakBefore w:val="false"/>
      <w:spacing w:lineRule="auto" w:line="240" w:before="220" w:after="40"/>
    </w:pPr>
    <w:rPr>
      <w:b/>
      <w:bCs/>
      <w:sz w:val="22"/>
      <w:szCs w:val="22"/>
    </w:rPr>
  </w:style>
  <w:style w:type="paragraph" w:styleId="Heading6">
    <w:name w:val="heading 6"/>
    <w:basedOn w:val="normal1"/>
    <w:next w:val="normal1"/>
    <w:qFormat/>
    <w:pPr>
      <w:keepNext w:val="true"/>
      <w:keepLines/>
      <w:pageBreakBefore w:val="false"/>
      <w:spacing w:lineRule="auto" w:line="240" w:before="200" w:after="40"/>
    </w:pPr>
    <w:rPr>
      <w:b/>
      <w:bCs/>
      <w:sz w:val="20"/>
      <w:szCs w:val="20"/>
    </w:rPr>
  </w:style>
  <w:style w:type="character" w:styleId="DefaultParagraphFont" w:default="1">
    <w:name w:val="Default Paragraph Font"/>
    <w:uiPriority w:val="1"/>
    <w:semiHidden/>
    <w:unhideWhenUsed/>
    <w:qFormat/>
    <w:rPr/>
  </w:style>
  <w:style w:type="character" w:styleId="HlavikaChar" w:customStyle="1">
    <w:name w:val="Hlavička Char"/>
    <w:basedOn w:val="DefaultParagraphFont"/>
    <w:uiPriority w:val="99"/>
    <w:qFormat/>
    <w:rsid w:val="001f4aca"/>
    <w:rPr>
      <w:rFonts w:eastAsia="Cambria" w:eastAsiaTheme="minorHAnsi"/>
      <w:sz w:val="22"/>
      <w:szCs w:val="22"/>
      <w:lang w:val="en-GB"/>
    </w:rPr>
  </w:style>
  <w:style w:type="character" w:styleId="PtaChar" w:customStyle="1">
    <w:name w:val="Päta Char"/>
    <w:basedOn w:val="DefaultParagraphFont"/>
    <w:uiPriority w:val="99"/>
    <w:qFormat/>
    <w:rsid w:val="001f4aca"/>
    <w:rPr>
      <w:rFonts w:eastAsia="Cambria" w:eastAsiaTheme="minorHAnsi"/>
      <w:sz w:val="22"/>
      <w:szCs w:val="22"/>
      <w:lang w:val="en-GB"/>
    </w:rPr>
  </w:style>
  <w:style w:type="character" w:styleId="PageNumber">
    <w:name w:val="page number"/>
    <w:basedOn w:val="DefaultParagraphFont"/>
    <w:uiPriority w:val="99"/>
    <w:semiHidden/>
    <w:unhideWhenUsed/>
    <w:qFormat/>
    <w:rsid w:val="001f4aca"/>
    <w:rPr/>
  </w:style>
  <w:style w:type="character" w:styleId="TextbublinyChar" w:customStyle="1">
    <w:name w:val="Text bubliny Char"/>
    <w:basedOn w:val="DefaultParagraphFont"/>
    <w:link w:val="BalloonText"/>
    <w:uiPriority w:val="99"/>
    <w:semiHidden/>
    <w:qFormat/>
    <w:rsid w:val="001f4aca"/>
    <w:rPr>
      <w:rFonts w:ascii="Lucida Grande" w:hAnsi="Lucida Grande" w:eastAsia="Cambria" w:cs="Lucida Grande" w:eastAsiaTheme="minorHAnsi"/>
      <w:sz w:val="18"/>
      <w:szCs w:val="18"/>
      <w:lang w:val="en-GB"/>
    </w:rPr>
  </w:style>
  <w:style w:type="character" w:styleId="Hyperlink">
    <w:name w:val="Hyperlink"/>
    <w:rPr>
      <w:color w:val="000080"/>
      <w:u w:val="single"/>
    </w:rPr>
  </w:style>
  <w:style w:type="paragraph" w:styleId="Nadpis" w:customStyle="1">
    <w:name w:val="Nadpis"/>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Register" w:customStyle="1">
    <w:name w:val="Register"/>
    <w:basedOn w:val="Normal"/>
    <w:qFormat/>
    <w:pPr>
      <w:suppressLineNumbers/>
    </w:pPr>
    <w:rPr>
      <w:rFonts w:cs="Lucida Sans"/>
    </w:rPr>
  </w:style>
  <w:style w:type="paragraph" w:styleId="normal1" w:default="1">
    <w:name w:val="normal1"/>
    <w:qFormat/>
    <w:pPr>
      <w:widowControl/>
      <w:bidi w:val="0"/>
      <w:spacing w:lineRule="auto" w:line="276" w:before="0" w:after="200"/>
      <w:jc w:val="left"/>
    </w:pPr>
    <w:rPr>
      <w:rFonts w:ascii="Cambria" w:hAnsi="Cambria" w:eastAsia="Cambria" w:cs="Cambria"/>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480" w:after="120"/>
    </w:pPr>
    <w:rPr>
      <w:b/>
      <w:bCs/>
      <w:sz w:val="72"/>
      <w:szCs w:val="72"/>
    </w:rPr>
  </w:style>
  <w:style w:type="paragraph" w:styleId="Hlavikaapta" w:customStyle="1">
    <w:name w:val="Hlavička a päta"/>
    <w:basedOn w:val="Normal"/>
    <w:qFormat/>
    <w:pPr/>
    <w:rPr/>
  </w:style>
  <w:style w:type="paragraph" w:styleId="Header">
    <w:name w:val="header"/>
    <w:basedOn w:val="Hlavikaapta"/>
    <w:link w:val="HlavikaChar"/>
    <w:uiPriority w:val="99"/>
    <w:unhideWhenUsed/>
    <w:rsid w:val="001f4aca"/>
    <w:pPr>
      <w:tabs>
        <w:tab w:val="clear" w:pos="720"/>
        <w:tab w:val="center" w:pos="4513" w:leader="none"/>
        <w:tab w:val="right" w:pos="9026" w:leader="none"/>
      </w:tabs>
      <w:spacing w:lineRule="auto" w:line="240" w:before="0" w:after="0"/>
    </w:pPr>
    <w:rPr/>
  </w:style>
  <w:style w:type="paragraph" w:styleId="ListParagraph">
    <w:name w:val="List Paragraph"/>
    <w:uiPriority w:val="34"/>
    <w:qFormat/>
    <w:rsid w:val="001f4aca"/>
    <w:pPr>
      <w:widowControl/>
      <w:bidi w:val="0"/>
      <w:spacing w:before="0" w:after="200" w:lineRule="auto" w:line="276"/>
      <w:ind w:left="720"/>
      <w:contextualSpacing/>
      <w:jc w:val="left"/>
    </w:pPr>
    <w:rPr>
      <w:rFonts w:ascii="Cambria" w:hAnsi="Cambria" w:eastAsia="Cambria" w:cs="Cambria"/>
      <w:color w:val="auto"/>
      <w:kern w:val="0"/>
      <w:sz w:val="22"/>
      <w:szCs w:val="22"/>
      <w:lang w:val="en-US" w:eastAsia="zh-CN" w:bidi="hi-IN"/>
    </w:rPr>
  </w:style>
  <w:style w:type="paragraph" w:styleId="Footer">
    <w:name w:val="footer"/>
    <w:basedOn w:val="Hlavikaapta"/>
    <w:link w:val="PtaChar"/>
    <w:uiPriority w:val="99"/>
    <w:unhideWhenUsed/>
    <w:rsid w:val="001f4aca"/>
    <w:pPr>
      <w:tabs>
        <w:tab w:val="clear" w:pos="720"/>
        <w:tab w:val="center" w:pos="4320" w:leader="none"/>
        <w:tab w:val="right" w:pos="8640" w:leader="none"/>
      </w:tabs>
      <w:spacing w:lineRule="auto" w:line="240" w:before="0" w:after="0"/>
    </w:pPr>
    <w:rPr/>
  </w:style>
  <w:style w:type="paragraph" w:styleId="BalloonText">
    <w:name w:val="Balloon Text"/>
    <w:link w:val="TextbublinyChar"/>
    <w:uiPriority w:val="99"/>
    <w:semiHidden/>
    <w:unhideWhenUsed/>
    <w:qFormat/>
    <w:rsid w:val="001f4aca"/>
    <w:pPr>
      <w:widowControl/>
      <w:bidi w:val="0"/>
      <w:spacing w:lineRule="auto" w:line="240" w:before="0" w:after="0"/>
      <w:jc w:val="left"/>
    </w:pPr>
    <w:rPr>
      <w:rFonts w:ascii="Lucida Grande" w:hAnsi="Lucida Grande" w:cs="Lucida Grande" w:eastAsia="Cambria"/>
      <w:color w:val="auto"/>
      <w:kern w:val="0"/>
      <w:sz w:val="18"/>
      <w:szCs w:val="18"/>
      <w:lang w:val="en-US" w:eastAsia="zh-CN" w:bidi="hi-IN"/>
    </w:rPr>
  </w:style>
  <w:style w:type="paragraph" w:styleId="FrameContents" w:customStyle="1">
    <w:name w:val="Frame Contents"/>
    <w:qFormat/>
    <w:pPr>
      <w:widowControl/>
      <w:bidi w:val="0"/>
      <w:spacing w:lineRule="auto" w:line="276" w:before="0" w:after="200"/>
      <w:jc w:val="left"/>
    </w:pPr>
    <w:rPr>
      <w:rFonts w:ascii="Cambria" w:hAnsi="Cambria" w:eastAsia="Cambria" w:cs="Cambria"/>
      <w:color w:val="auto"/>
      <w:kern w:val="0"/>
      <w:sz w:val="22"/>
      <w:szCs w:val="22"/>
      <w:lang w:val="en-US" w:eastAsia="zh-CN" w:bidi="hi-IN"/>
    </w:rPr>
  </w:style>
  <w:style w:type="paragraph" w:styleId="Revision">
    <w:name w:val="Revision"/>
    <w:uiPriority w:val="99"/>
    <w:semiHidden/>
    <w:qFormat/>
    <w:rsid w:val="007b34d0"/>
    <w:pPr>
      <w:widowControl/>
      <w:suppressAutoHyphens w:val="false"/>
      <w:bidi w:val="0"/>
      <w:spacing w:lineRule="auto" w:line="276" w:before="0" w:after="200"/>
      <w:jc w:val="left"/>
    </w:pPr>
    <w:rPr>
      <w:rFonts w:ascii="Cambria" w:hAnsi="Cambria" w:eastAsia="Cambria" w:eastAsiaTheme="minorHAnsi" w:cs="Cambria"/>
      <w:color w:val="auto"/>
      <w:kern w:val="0"/>
      <w:sz w:val="22"/>
      <w:szCs w:val="22"/>
      <w:lang w:val="en-GB" w:eastAsia="zh-CN" w:bidi="hi-IN"/>
    </w:rPr>
  </w:style>
  <w:style w:type="paragraph" w:styleId="Subtitle">
    <w:name w:val="Subtitle"/>
    <w:basedOn w:val="normal1"/>
    <w:next w:val="normal1"/>
    <w:qFormat/>
    <w:pPr>
      <w:keepNext w:val="true"/>
      <w:keepLines/>
      <w:pageBreakBefore w:val="false"/>
      <w:spacing w:lineRule="auto" w:line="240" w:before="360" w:after="80"/>
    </w:pPr>
    <w:rPr>
      <w:rFonts w:ascii="Georgia" w:hAnsi="Georgia" w:eastAsia="Georgia" w:cs="Georgia"/>
      <w:i/>
      <w:iCs/>
      <w:color w:val="666666"/>
      <w:sz w:val="48"/>
      <w:szCs w:val="48"/>
    </w:rPr>
  </w:style>
  <w:style w:type="paragraph" w:styleId="Obsahrmca">
    <w:name w:val="Obsah rámca"/>
    <w:basedOn w:val="Normal"/>
    <w:qFormat/>
    <w:pPr/>
    <w:rPr/>
  </w:style>
  <w:style w:type="numbering" w:styleId="Bezzoznamu" w:default="1">
    <w:name w:val="Bez zoznamu"/>
    <w:uiPriority w:val="99"/>
    <w:semiHidden/>
    <w:unhideWhenUsed/>
    <w:qFormat/>
  </w:style>
  <w:style w:type="table" w:default="1" w:styleId="TableNormal">
    <w:name w:val="TableNormal"/>
    <w:tblPr>
      <w:tblCellMar>
        <w:top w:w="100" w:type="dxa"/>
        <w:left w:w="100" w:type="dxa"/>
        <w:bottom w:w="100" w:type="dxa"/>
        <w:right w:w="100" w:type="dxa"/>
      </w:tblCellMar>
    </w:tblPr>
  </w:style>
  <w:style w:type="table" w:default="1" w:styleId="TableNormal">
    <w:name w:val="TableNormal"/>
    <w:tblPr>
      <w:tblCellMar>
        <w:top w:w="100" w:type="dxa"/>
        <w:left w:w="100" w:type="dxa"/>
        <w:bottom w:w="100" w:type="dxa"/>
        <w:right w:w="100" w:type="dxa"/>
      </w:tblCellMar>
    </w:tblPr>
  </w:style>
  <w:style w:type="table" w:default="1" w:styleId="Normlnatabuka">
    <w:name w:val="Normal Table"/>
    <w:uiPriority w:val="99"/>
    <w:semiHidden/>
    <w:unhideWhenUsed/>
    <w:tblPr>
      <w:tblCellMar>
        <w:top w:w="0" w:type="dxa"/>
        <w:left w:w="108" w:type="dxa"/>
        <w:bottom w:w="0" w:type="dxa"/>
        <w:right w:w="108" w:type="dxa"/>
      </w:tblCellMar>
    </w:tblPr>
  </w:style>
  <w:style w:type="table" w:styleId="Mriekatabuky">
    <w:name w:val="Table Grid"/>
    <w:basedOn w:val="Normlnatabuka"/>
    <w:uiPriority w:val="59"/>
    <w:rsid w:val="00822966"/>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Relationship Id="rId12"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Relationship Id="rId28" Type="http://schemas.openxmlformats.org/officeDocument/2006/relationships/font" Target="fonts/font28.odttf"/><Relationship Id="rId29" Type="http://schemas.openxmlformats.org/officeDocument/2006/relationships/font" Target="fonts/font29.odttf"/>
</Relationships>
</file>

<file path=word/_rels/header2.xml.rels><?xml version="1.0" encoding="UTF-8"?>
<Relationships xmlns="http://schemas.openxmlformats.org/package/2006/relationships"><Relationship Id="rId1" Type="http://schemas.openxmlformats.org/officeDocument/2006/relationships/image" Target="media/image1.png"/>
</Relationships>
</file>

<file path=word/_rels/header3.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gPYvdU9QZzcaJAIX4u6f9/9R+F+g==">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0</TotalTime>
  <Application>LibreOffice/25.2.7.2$Windows_X86_64 LibreOffice_project/5cbfd1ab6520636bb5f7b99185aa69bd7456825d</Application>
  <AppVersion>15.0000</AppVersion>
  <DocSecurity>0</DocSecurity>
  <Pages>13</Pages>
  <Words>4798</Words>
  <Characters>27637</Characters>
  <CharactersWithSpaces>32220</CharactersWithSpaces>
  <Paragraphs>195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2018-05-01T13:41:00Z</dcterms:created>
  <dc:creator>David Cacik</dc:creator>
  <dc:description/>
  <dc:language>sk-SK</dc:language>
  <cp:lastModifiedBy/>
  <dcterms:modified xsi:type="dcterms:W3CDTF">2026-02-10T16:15:30Z</dcterms:modified>
  <cp:revision>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